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77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6300"/>
      </w:tblGrid>
      <w:tr w:rsidR="00803623" w:rsidRPr="00803623" w:rsidTr="00A407A2">
        <w:trPr>
          <w:trHeight w:val="200"/>
        </w:trPr>
        <w:tc>
          <w:tcPr>
            <w:tcW w:w="2965" w:type="dxa"/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07A2" w:rsidRDefault="00803623" w:rsidP="00A407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803623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Question Type</w:t>
            </w:r>
            <w:r w:rsidR="00A407A2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03623" w:rsidRPr="00803623" w:rsidRDefault="00A407A2" w:rsidP="00A407A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and Purpose</w:t>
            </w:r>
          </w:p>
        </w:tc>
        <w:tc>
          <w:tcPr>
            <w:tcW w:w="6300" w:type="dxa"/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3623" w:rsidRPr="00803623" w:rsidRDefault="00482C27" w:rsidP="00A407A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82C2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Example: </w:t>
            </w:r>
          </w:p>
        </w:tc>
      </w:tr>
      <w:tr w:rsidR="00482C27" w:rsidRPr="00482C27" w:rsidTr="00A407A2">
        <w:trPr>
          <w:trHeight w:val="1069"/>
        </w:trPr>
        <w:tc>
          <w:tcPr>
            <w:tcW w:w="29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27" w:rsidRPr="00482C27" w:rsidRDefault="00482C27" w:rsidP="004F4767">
            <w:pPr>
              <w:spacing w:before="120"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803623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Gathering Information</w:t>
            </w:r>
          </w:p>
          <w:p w:rsidR="00482C27" w:rsidRPr="00803623" w:rsidRDefault="00482C27" w:rsidP="004F4767">
            <w:pPr>
              <w:spacing w:after="120" w:line="240" w:lineRule="auto"/>
              <w:rPr>
                <w:rFonts w:eastAsia="Times New Roman" w:cs="Arial"/>
                <w:i/>
                <w:color w:val="000000" w:themeColor="text1"/>
                <w:sz w:val="24"/>
                <w:szCs w:val="24"/>
              </w:rPr>
            </w:pPr>
            <w:r w:rsidRPr="00803623">
              <w:rPr>
                <w:rFonts w:eastAsia="Times New Roman" w:cs="Calibri"/>
                <w:i/>
                <w:color w:val="000000" w:themeColor="dark1"/>
                <w:sz w:val="24"/>
                <w:szCs w:val="24"/>
              </w:rPr>
              <w:t>Ask students to recall facts, definitions, or procedures.</w:t>
            </w:r>
          </w:p>
        </w:tc>
        <w:tc>
          <w:tcPr>
            <w:tcW w:w="63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C27" w:rsidRPr="00482C27" w:rsidRDefault="00482C27" w:rsidP="00A407A2">
            <w:pPr>
              <w:pStyle w:val="ListParagraph"/>
              <w:numPr>
                <w:ilvl w:val="0"/>
                <w:numId w:val="3"/>
              </w:numPr>
              <w:spacing w:before="120" w:after="0" w:line="360" w:lineRule="auto"/>
              <w:ind w:left="360"/>
              <w:contextualSpacing w:val="0"/>
              <w:rPr>
                <w:rFonts w:eastAsia="Times New Roman" w:cs="Calibri"/>
                <w:color w:val="000000" w:themeColor="dark1"/>
                <w:sz w:val="24"/>
                <w:szCs w:val="24"/>
              </w:rPr>
            </w:pPr>
            <w:r w:rsidRPr="00482C27">
              <w:rPr>
                <w:rFonts w:eastAsia="Times New Roman" w:cs="Calibri"/>
                <w:color w:val="000000" w:themeColor="dark1"/>
                <w:sz w:val="24"/>
                <w:szCs w:val="24"/>
              </w:rPr>
              <w:t xml:space="preserve">How many candy bars are there? </w:t>
            </w:r>
          </w:p>
          <w:p w:rsidR="00482C27" w:rsidRPr="00482C27" w:rsidRDefault="00482C27" w:rsidP="00A407A2">
            <w:pPr>
              <w:pStyle w:val="ListParagraph"/>
              <w:numPr>
                <w:ilvl w:val="0"/>
                <w:numId w:val="3"/>
              </w:numPr>
              <w:spacing w:before="240" w:after="0" w:line="360" w:lineRule="auto"/>
              <w:ind w:left="360"/>
              <w:rPr>
                <w:rFonts w:eastAsia="Times New Roman" w:cs="Calibri"/>
                <w:color w:val="000000" w:themeColor="dark1"/>
                <w:sz w:val="24"/>
                <w:szCs w:val="24"/>
              </w:rPr>
            </w:pPr>
            <w:r w:rsidRPr="00482C27">
              <w:rPr>
                <w:rFonts w:eastAsia="Times New Roman" w:cs="Calibri"/>
                <w:color w:val="000000" w:themeColor="dark1"/>
                <w:sz w:val="24"/>
                <w:szCs w:val="24"/>
              </w:rPr>
              <w:t>How many friends are present?</w:t>
            </w:r>
          </w:p>
        </w:tc>
      </w:tr>
      <w:tr w:rsidR="00482C27" w:rsidRPr="00482C27" w:rsidTr="00A407A2">
        <w:trPr>
          <w:trHeight w:val="2315"/>
        </w:trPr>
        <w:tc>
          <w:tcPr>
            <w:tcW w:w="29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27" w:rsidRPr="00482C27" w:rsidRDefault="00482C27" w:rsidP="004F4767">
            <w:pPr>
              <w:spacing w:before="120" w:after="0" w:line="240" w:lineRule="auto"/>
              <w:rPr>
                <w:rFonts w:eastAsia="Times New Roman" w:cs="Calibri"/>
                <w:color w:val="000000" w:themeColor="dark1"/>
                <w:sz w:val="24"/>
                <w:szCs w:val="24"/>
              </w:rPr>
            </w:pPr>
            <w:r w:rsidRPr="00803623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Probing thinking</w:t>
            </w:r>
            <w:r w:rsidRPr="00482C27">
              <w:rPr>
                <w:rFonts w:eastAsia="Times New Roman" w:cs="Calibri"/>
                <w:color w:val="000000" w:themeColor="dark1"/>
                <w:sz w:val="24"/>
                <w:szCs w:val="24"/>
              </w:rPr>
              <w:t xml:space="preserve"> </w:t>
            </w:r>
          </w:p>
          <w:p w:rsidR="00482C27" w:rsidRPr="00803623" w:rsidRDefault="00482C27" w:rsidP="004F4767">
            <w:pPr>
              <w:spacing w:after="120" w:line="240" w:lineRule="auto"/>
              <w:rPr>
                <w:rFonts w:eastAsia="Times New Roman" w:cs="Arial"/>
                <w:i/>
                <w:color w:val="000000" w:themeColor="text1"/>
                <w:sz w:val="24"/>
                <w:szCs w:val="24"/>
              </w:rPr>
            </w:pPr>
            <w:r w:rsidRPr="00803623">
              <w:rPr>
                <w:rFonts w:eastAsia="Times New Roman" w:cs="Calibri"/>
                <w:i/>
                <w:color w:val="000000" w:themeColor="dark1"/>
                <w:sz w:val="24"/>
                <w:szCs w:val="24"/>
              </w:rPr>
              <w:t>Ask students to explain, elaborate, or clarify their thinking, including articulating the steps in solution methods or completion of a task.</w:t>
            </w:r>
          </w:p>
        </w:tc>
        <w:tc>
          <w:tcPr>
            <w:tcW w:w="63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C27" w:rsidRPr="00482C27" w:rsidRDefault="00482C27" w:rsidP="00A407A2">
            <w:pPr>
              <w:pStyle w:val="ListParagraph"/>
              <w:numPr>
                <w:ilvl w:val="0"/>
                <w:numId w:val="2"/>
              </w:numPr>
              <w:spacing w:before="120" w:line="240" w:lineRule="auto"/>
              <w:ind w:left="360"/>
              <w:contextualSpacing w:val="0"/>
              <w:rPr>
                <w:rFonts w:eastAsia="Times New Roman" w:cs="Calibri"/>
                <w:color w:val="000000" w:themeColor="dark1"/>
                <w:sz w:val="24"/>
                <w:szCs w:val="24"/>
              </w:rPr>
            </w:pPr>
            <w:r w:rsidRPr="00482C27">
              <w:rPr>
                <w:rFonts w:eastAsia="Times New Roman" w:cs="Calibri"/>
                <w:color w:val="000000" w:themeColor="dark1"/>
                <w:sz w:val="24"/>
                <w:szCs w:val="24"/>
              </w:rPr>
              <w:t>What does the number ___ represent in your solution/drawing?</w:t>
            </w:r>
          </w:p>
          <w:p w:rsidR="00482C27" w:rsidRPr="00482C27" w:rsidRDefault="00482C27" w:rsidP="00A407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="Calibri"/>
                <w:color w:val="000000" w:themeColor="dark1"/>
                <w:sz w:val="24"/>
                <w:szCs w:val="24"/>
              </w:rPr>
            </w:pPr>
            <w:r w:rsidRPr="00482C27">
              <w:rPr>
                <w:rFonts w:eastAsia="Times New Roman" w:cs="Calibri"/>
                <w:color w:val="000000" w:themeColor="dark1"/>
                <w:sz w:val="24"/>
                <w:szCs w:val="24"/>
              </w:rPr>
              <w:t>I see you have _______</w:t>
            </w:r>
            <w:r w:rsidR="00BC622C">
              <w:rPr>
                <w:rFonts w:eastAsia="Times New Roman" w:cs="Calibri"/>
                <w:color w:val="000000" w:themeColor="dark1"/>
                <w:sz w:val="24"/>
                <w:szCs w:val="24"/>
              </w:rPr>
              <w:t xml:space="preserve"> </w:t>
            </w:r>
            <w:r w:rsidRPr="00482C27">
              <w:rPr>
                <w:rFonts w:eastAsia="Times New Roman" w:cs="Calibri"/>
                <w:color w:val="000000" w:themeColor="dark1"/>
                <w:sz w:val="24"/>
                <w:szCs w:val="24"/>
              </w:rPr>
              <w:t>(rectangles divided, people, arrows)….tell me about what you’re doing.</w:t>
            </w:r>
          </w:p>
        </w:tc>
      </w:tr>
      <w:tr w:rsidR="00482C27" w:rsidRPr="00482C27" w:rsidTr="00A407A2">
        <w:trPr>
          <w:trHeight w:val="1955"/>
        </w:trPr>
        <w:tc>
          <w:tcPr>
            <w:tcW w:w="29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27" w:rsidRPr="00482C27" w:rsidRDefault="00482C27" w:rsidP="004F4767">
            <w:pPr>
              <w:spacing w:before="120"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803623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Making the mathematics visible</w:t>
            </w:r>
          </w:p>
          <w:p w:rsidR="00482C27" w:rsidRPr="00803623" w:rsidRDefault="00482C27" w:rsidP="004F4767">
            <w:pPr>
              <w:spacing w:after="120" w:line="240" w:lineRule="auto"/>
              <w:rPr>
                <w:rFonts w:eastAsia="Times New Roman" w:cs="Arial"/>
                <w:i/>
                <w:color w:val="000000" w:themeColor="text1"/>
                <w:sz w:val="24"/>
                <w:szCs w:val="24"/>
              </w:rPr>
            </w:pPr>
            <w:r w:rsidRPr="00803623">
              <w:rPr>
                <w:rFonts w:eastAsia="Times New Roman" w:cs="Calibri"/>
                <w:i/>
                <w:color w:val="000000" w:themeColor="dark1"/>
                <w:sz w:val="24"/>
                <w:szCs w:val="24"/>
              </w:rPr>
              <w:t>Ask students to discuss mathematical structures and make connections among mathematical ideas and relationships.</w:t>
            </w:r>
          </w:p>
        </w:tc>
        <w:tc>
          <w:tcPr>
            <w:tcW w:w="63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C27" w:rsidRPr="00482C27" w:rsidRDefault="00482C27" w:rsidP="00A407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 w:cs="Calibri"/>
                <w:color w:val="000000" w:themeColor="dark1"/>
                <w:sz w:val="24"/>
                <w:szCs w:val="24"/>
              </w:rPr>
            </w:pPr>
            <w:r w:rsidRPr="00482C27">
              <w:rPr>
                <w:rFonts w:eastAsia="Times New Roman" w:cs="Calibri"/>
                <w:color w:val="000000" w:themeColor="dark1"/>
                <w:sz w:val="24"/>
                <w:szCs w:val="24"/>
              </w:rPr>
              <w:t>I see you wrote 1/3 +1/3+1/3+1/3= 4/3. What else do you know about 4</w:t>
            </w:r>
            <w:bookmarkStart w:id="0" w:name="_GoBack"/>
            <w:bookmarkEnd w:id="0"/>
            <w:r w:rsidRPr="00482C27">
              <w:rPr>
                <w:rFonts w:eastAsia="Times New Roman" w:cs="Calibri"/>
                <w:color w:val="000000" w:themeColor="dark1"/>
                <w:sz w:val="24"/>
                <w:szCs w:val="24"/>
              </w:rPr>
              <w:t xml:space="preserve">/3? How is that represented in your model? </w:t>
            </w:r>
          </w:p>
          <w:p w:rsidR="00482C27" w:rsidRPr="00482C27" w:rsidRDefault="00482C27" w:rsidP="00A407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 w:cs="Calibri"/>
                <w:color w:val="000000" w:themeColor="dark1"/>
                <w:sz w:val="24"/>
                <w:szCs w:val="24"/>
              </w:rPr>
            </w:pPr>
            <w:r>
              <w:rPr>
                <w:rFonts w:eastAsia="Times New Roman" w:cs="Calibri"/>
                <w:color w:val="000000" w:themeColor="dark1"/>
                <w:sz w:val="24"/>
                <w:szCs w:val="24"/>
              </w:rPr>
              <w:t xml:space="preserve">You wrote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 w:themeColor="dark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 w:themeColor="dark1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 w:themeColor="dark1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eastAsia="Times New Roman" w:cs="Calibri"/>
                <w:color w:val="000000" w:themeColor="dark1"/>
                <w:sz w:val="24"/>
                <w:szCs w:val="24"/>
              </w:rPr>
              <w:t xml:space="preserve"> and you wrote </w:t>
            </w:r>
            <m:oMath>
              <m:r>
                <w:rPr>
                  <w:rFonts w:ascii="Cambria Math" w:eastAsia="Times New Roman" w:hAnsi="Cambria Math" w:cs="Calibri"/>
                  <w:color w:val="000000" w:themeColor="dark1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 w:themeColor="dark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 w:themeColor="dark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 w:themeColor="dark1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eastAsia="Times New Roman" w:cs="Calibri"/>
                <w:color w:val="000000" w:themeColor="dark1"/>
                <w:sz w:val="24"/>
                <w:szCs w:val="24"/>
              </w:rPr>
              <w:t xml:space="preserve"> on your work. Are they the same? </w:t>
            </w:r>
            <w:r w:rsidRPr="00482C27">
              <w:rPr>
                <w:rFonts w:eastAsia="Times New Roman" w:cs="Calibri"/>
                <w:color w:val="000000" w:themeColor="dark1"/>
                <w:sz w:val="24"/>
                <w:szCs w:val="24"/>
              </w:rPr>
              <w:t>What makes</w:t>
            </w:r>
            <w:r>
              <w:rPr>
                <w:rFonts w:eastAsia="Times New Roman" w:cs="Calibri"/>
                <w:color w:val="000000" w:themeColor="dark1"/>
                <w:sz w:val="24"/>
                <w:szCs w:val="24"/>
              </w:rPr>
              <w:t xml:space="preserve"> </w:t>
            </w:r>
            <w:r w:rsidRPr="00482C27">
              <w:rPr>
                <w:rFonts w:eastAsia="Times New Roman" w:cs="Calibri"/>
                <w:color w:val="000000" w:themeColor="dark1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 w:themeColor="dark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 w:themeColor="dark1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 w:themeColor="dark1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Calibri"/>
                  <w:color w:val="000000" w:themeColor="dark1"/>
                  <w:sz w:val="24"/>
                  <w:szCs w:val="24"/>
                </w:rPr>
                <m:t>=1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 w:themeColor="dark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 w:themeColor="dark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 w:themeColor="dark1"/>
                      <w:sz w:val="24"/>
                      <w:szCs w:val="24"/>
                    </w:rPr>
                    <m:t>3</m:t>
                  </m:r>
                </m:den>
              </m:f>
            </m:oMath>
            <w:r w:rsidRPr="00482C27">
              <w:rPr>
                <w:rFonts w:eastAsia="Times New Roman" w:cs="Calibri"/>
                <w:color w:val="000000" w:themeColor="dark1"/>
                <w:sz w:val="24"/>
                <w:szCs w:val="24"/>
              </w:rPr>
              <w:t>?</w:t>
            </w:r>
          </w:p>
          <w:p w:rsidR="00482C27" w:rsidRPr="00482C27" w:rsidRDefault="00482C27" w:rsidP="00A407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color w:val="000000" w:themeColor="dark1"/>
                <w:sz w:val="24"/>
                <w:szCs w:val="24"/>
              </w:rPr>
            </w:pPr>
            <w:r>
              <w:rPr>
                <w:rFonts w:eastAsia="Times New Roman" w:cs="Calibri"/>
                <w:color w:val="000000" w:themeColor="dark1"/>
                <w:sz w:val="24"/>
                <w:szCs w:val="24"/>
              </w:rPr>
              <w:t>You wrote 4÷3. H</w:t>
            </w:r>
            <w:r w:rsidRPr="00482C27">
              <w:rPr>
                <w:rFonts w:eastAsia="Times New Roman" w:cs="Calibri"/>
                <w:color w:val="000000" w:themeColor="dark1"/>
                <w:sz w:val="24"/>
                <w:szCs w:val="24"/>
              </w:rPr>
              <w:t xml:space="preserve">ow does this relate to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 w:themeColor="dark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 w:themeColor="dark1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 w:themeColor="dark1"/>
                      <w:sz w:val="24"/>
                      <w:szCs w:val="24"/>
                    </w:rPr>
                    <m:t>3</m:t>
                  </m:r>
                </m:den>
              </m:f>
            </m:oMath>
            <w:r w:rsidRPr="00482C27">
              <w:rPr>
                <w:rFonts w:eastAsia="Times New Roman" w:cs="Calibri"/>
                <w:color w:val="000000" w:themeColor="dark1"/>
                <w:sz w:val="24"/>
                <w:szCs w:val="24"/>
              </w:rPr>
              <w:t xml:space="preserve"> ? </w:t>
            </w:r>
          </w:p>
        </w:tc>
      </w:tr>
      <w:tr w:rsidR="00482C27" w:rsidRPr="00482C27" w:rsidTr="00A407A2">
        <w:trPr>
          <w:trHeight w:val="785"/>
        </w:trPr>
        <w:tc>
          <w:tcPr>
            <w:tcW w:w="29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27" w:rsidRPr="00482C27" w:rsidRDefault="00482C27" w:rsidP="00A407A2">
            <w:pPr>
              <w:spacing w:before="120"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803623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Encouraging reflection and justification</w:t>
            </w:r>
          </w:p>
          <w:p w:rsidR="00482C27" w:rsidRPr="00803623" w:rsidRDefault="00482C27" w:rsidP="004F4767">
            <w:pPr>
              <w:spacing w:after="120" w:line="240" w:lineRule="auto"/>
              <w:rPr>
                <w:rFonts w:eastAsia="Times New Roman" w:cs="Arial"/>
                <w:i/>
                <w:color w:val="000000" w:themeColor="text1"/>
                <w:sz w:val="24"/>
                <w:szCs w:val="24"/>
              </w:rPr>
            </w:pPr>
            <w:r w:rsidRPr="00803623">
              <w:rPr>
                <w:rFonts w:eastAsia="Times New Roman" w:cs="Calibri"/>
                <w:i/>
                <w:color w:val="000000" w:themeColor="dark1"/>
                <w:sz w:val="24"/>
                <w:szCs w:val="24"/>
              </w:rPr>
              <w:t>Reveal deeper insight into student reasoning and actions, including asking students to argue for the validity of their work.</w:t>
            </w:r>
          </w:p>
        </w:tc>
        <w:tc>
          <w:tcPr>
            <w:tcW w:w="63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C27" w:rsidRPr="00482C27" w:rsidRDefault="00482C27" w:rsidP="00A407A2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contextualSpacing w:val="0"/>
              <w:rPr>
                <w:rFonts w:eastAsia="Times New Roman" w:cs="Calibri"/>
                <w:color w:val="000000" w:themeColor="dark1"/>
                <w:sz w:val="24"/>
                <w:szCs w:val="24"/>
              </w:rPr>
            </w:pPr>
            <w:r w:rsidRPr="00482C27">
              <w:rPr>
                <w:rFonts w:eastAsia="Times New Roman" w:cs="Calibri"/>
                <w:color w:val="000000" w:themeColor="dark1"/>
                <w:sz w:val="24"/>
                <w:szCs w:val="24"/>
              </w:rPr>
              <w:t xml:space="preserve">I see you </w:t>
            </w:r>
            <w:r>
              <w:rPr>
                <w:rFonts w:eastAsia="Times New Roman" w:cs="Calibri"/>
                <w:color w:val="000000" w:themeColor="dark1"/>
                <w:sz w:val="24"/>
                <w:szCs w:val="24"/>
              </w:rPr>
              <w:t xml:space="preserve">took this </w:t>
            </w:r>
            <w:r w:rsidRPr="00482C27">
              <w:rPr>
                <w:rFonts w:eastAsia="Times New Roman" w:cs="Calibri"/>
                <w:color w:val="000000" w:themeColor="dark1"/>
                <w:sz w:val="24"/>
                <w:szCs w:val="24"/>
              </w:rPr>
              <w:t xml:space="preserve">one whole candy bar, and partitioned it into ___ pieces. Why did you do that? </w:t>
            </w:r>
          </w:p>
          <w:p w:rsidR="00482C27" w:rsidRPr="00482C27" w:rsidRDefault="00482C27" w:rsidP="00A407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color w:val="000000" w:themeColor="dark1"/>
                <w:sz w:val="24"/>
                <w:szCs w:val="24"/>
              </w:rPr>
            </w:pPr>
            <w:r w:rsidRPr="00482C27">
              <w:rPr>
                <w:rFonts w:eastAsia="Times New Roman" w:cs="Calibri"/>
                <w:color w:val="000000" w:themeColor="dark1"/>
                <w:sz w:val="24"/>
                <w:szCs w:val="24"/>
              </w:rPr>
              <w:t xml:space="preserve">I see you </w:t>
            </w:r>
            <w:r>
              <w:rPr>
                <w:rFonts w:eastAsia="Times New Roman" w:cs="Calibri"/>
                <w:color w:val="000000" w:themeColor="dark1"/>
                <w:sz w:val="24"/>
                <w:szCs w:val="24"/>
              </w:rPr>
              <w:t>divided</w:t>
            </w:r>
            <w:r w:rsidRPr="00482C27">
              <w:rPr>
                <w:rFonts w:eastAsia="Times New Roman" w:cs="Calibri"/>
                <w:color w:val="000000" w:themeColor="dark1"/>
                <w:sz w:val="24"/>
                <w:szCs w:val="24"/>
              </w:rPr>
              <w:t xml:space="preserve"> each bar into thirds (and now you have 12 pieces), then you shared them out to each person.  How did you know how many</w:t>
            </w:r>
            <w:r>
              <w:rPr>
                <w:rFonts w:eastAsia="Times New Roman" w:cs="Calibri"/>
                <w:color w:val="000000" w:themeColor="dark1"/>
                <w:sz w:val="24"/>
                <w:szCs w:val="24"/>
              </w:rPr>
              <w:t xml:space="preserve"> pieces</w:t>
            </w:r>
            <w:r w:rsidRPr="00482C27">
              <w:rPr>
                <w:rFonts w:eastAsia="Times New Roman" w:cs="Calibri"/>
                <w:color w:val="000000" w:themeColor="dark1"/>
                <w:sz w:val="24"/>
                <w:szCs w:val="24"/>
              </w:rPr>
              <w:t xml:space="preserve"> to give each person? </w:t>
            </w:r>
          </w:p>
        </w:tc>
      </w:tr>
      <w:tr w:rsidR="00482C27" w:rsidRPr="00482C27" w:rsidTr="00A407A2">
        <w:trPr>
          <w:trHeight w:val="155"/>
        </w:trPr>
        <w:tc>
          <w:tcPr>
            <w:tcW w:w="29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27" w:rsidRPr="00482C27" w:rsidRDefault="00482C27" w:rsidP="00A407A2">
            <w:pPr>
              <w:spacing w:before="120"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803623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Engaging with the reasoning of others</w:t>
            </w:r>
          </w:p>
          <w:p w:rsidR="00482C27" w:rsidRPr="00803623" w:rsidRDefault="00482C27" w:rsidP="004F4767">
            <w:pPr>
              <w:spacing w:after="120" w:line="240" w:lineRule="auto"/>
              <w:rPr>
                <w:rFonts w:eastAsia="Times New Roman" w:cs="Arial"/>
                <w:i/>
                <w:sz w:val="24"/>
                <w:szCs w:val="24"/>
              </w:rPr>
            </w:pPr>
            <w:r w:rsidRPr="00803623">
              <w:rPr>
                <w:rFonts w:eastAsia="Times New Roman" w:cs="Calibri"/>
                <w:i/>
                <w:color w:val="000000" w:themeColor="dark1"/>
                <w:sz w:val="24"/>
                <w:szCs w:val="24"/>
              </w:rPr>
              <w:t>Reveal deeper insight into student reasoning and actions, including asking students to argue for the validity of their work.</w:t>
            </w:r>
          </w:p>
        </w:tc>
        <w:tc>
          <w:tcPr>
            <w:tcW w:w="63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2C27" w:rsidRPr="00482C27" w:rsidRDefault="00482C27" w:rsidP="00A407A2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contextualSpacing w:val="0"/>
              <w:rPr>
                <w:rFonts w:eastAsia="Times New Roman" w:cs="Calibri"/>
                <w:color w:val="000000" w:themeColor="dark1"/>
                <w:sz w:val="24"/>
                <w:szCs w:val="24"/>
              </w:rPr>
            </w:pPr>
            <w:r w:rsidRPr="00482C27">
              <w:rPr>
                <w:rFonts w:eastAsia="Times New Roman" w:cs="Calibri"/>
                <w:color w:val="000000" w:themeColor="dark1"/>
                <w:sz w:val="24"/>
                <w:szCs w:val="24"/>
              </w:rPr>
              <w:t xml:space="preserve">Look at your table community’s work. Can you find something similar and something different about how you processed this problem? </w:t>
            </w:r>
          </w:p>
          <w:p w:rsidR="00482C27" w:rsidRDefault="00482C27" w:rsidP="00A407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 w:cs="Calibri"/>
                <w:color w:val="000000" w:themeColor="dark1"/>
                <w:sz w:val="24"/>
                <w:szCs w:val="24"/>
              </w:rPr>
            </w:pPr>
            <w:r w:rsidRPr="00482C27">
              <w:rPr>
                <w:rFonts w:eastAsia="Times New Roman" w:cs="Calibri"/>
                <w:color w:val="000000" w:themeColor="dark1"/>
                <w:sz w:val="24"/>
                <w:szCs w:val="24"/>
              </w:rPr>
              <w:t xml:space="preserve">Who can say her/his process back in your own words?  </w:t>
            </w:r>
          </w:p>
          <w:p w:rsidR="00BC622C" w:rsidRPr="00BC622C" w:rsidRDefault="00BC622C" w:rsidP="00A407A2">
            <w:pPr>
              <w:pStyle w:val="ListParagraph"/>
              <w:numPr>
                <w:ilvl w:val="0"/>
                <w:numId w:val="4"/>
              </w:numPr>
              <w:spacing w:before="240" w:after="120" w:line="240" w:lineRule="auto"/>
              <w:contextualSpacing w:val="0"/>
              <w:rPr>
                <w:rFonts w:eastAsia="Times New Roman" w:cs="Calibri"/>
                <w:color w:val="000000" w:themeColor="dark1"/>
                <w:sz w:val="24"/>
                <w:szCs w:val="24"/>
              </w:rPr>
            </w:pPr>
            <w:r>
              <w:rPr>
                <w:rFonts w:eastAsia="Times New Roman" w:cs="Calibri"/>
                <w:color w:val="000000" w:themeColor="dark1"/>
                <w:sz w:val="24"/>
                <w:szCs w:val="24"/>
              </w:rPr>
              <w:t xml:space="preserve">Does anyone think one way to solve is more efficient than another way? Why?  </w:t>
            </w:r>
          </w:p>
        </w:tc>
      </w:tr>
    </w:tbl>
    <w:p w:rsidR="007D25DF" w:rsidRDefault="00A407A2" w:rsidP="00A407A2">
      <w:pPr>
        <w:jc w:val="center"/>
        <w:rPr>
          <w:rFonts w:eastAsia="Times New Roman" w:cs="Calibri"/>
          <w:b/>
          <w:bCs/>
          <w:color w:val="000000" w:themeColor="text1"/>
          <w:sz w:val="28"/>
          <w:szCs w:val="24"/>
        </w:rPr>
      </w:pPr>
      <w:r w:rsidRPr="00A407A2">
        <w:rPr>
          <w:rFonts w:eastAsia="Times New Roman" w:cs="Calibri"/>
          <w:b/>
          <w:bCs/>
          <w:color w:val="000000" w:themeColor="text1"/>
          <w:sz w:val="28"/>
          <w:szCs w:val="24"/>
        </w:rPr>
        <w:t>Possible Questions for Candy Bar Task</w:t>
      </w:r>
    </w:p>
    <w:p w:rsidR="00A407A2" w:rsidRPr="009F2525" w:rsidRDefault="00A407A2" w:rsidP="00A407A2">
      <w:pPr>
        <w:pStyle w:val="NormalWeb"/>
        <w:spacing w:before="240" w:beforeAutospacing="0" w:after="0" w:afterAutospacing="0"/>
        <w:rPr>
          <w:sz w:val="22"/>
        </w:rPr>
      </w:pPr>
      <w:r w:rsidRPr="009F2525">
        <w:rPr>
          <w:rFonts w:ascii="Calibri" w:hAnsi="Calibri" w:cstheme="minorBidi"/>
          <w:color w:val="000000" w:themeColor="text1"/>
          <w:kern w:val="24"/>
          <w:szCs w:val="28"/>
        </w:rPr>
        <w:t xml:space="preserve">Adapted from Smith, M. S., et al. (2017)  </w:t>
      </w:r>
      <w:r w:rsidRPr="009F2525">
        <w:rPr>
          <w:rFonts w:ascii="Calibri" w:hAnsi="Calibri" w:cstheme="minorBidi"/>
          <w:i/>
          <w:iCs/>
          <w:color w:val="000000" w:themeColor="text1"/>
          <w:kern w:val="24"/>
          <w:szCs w:val="28"/>
        </w:rPr>
        <w:t xml:space="preserve">Taking Action: Implementing Effective Mathematics Teaching Practices, </w:t>
      </w:r>
      <w:r w:rsidRPr="00964AF7">
        <w:rPr>
          <w:rFonts w:ascii="Calibri" w:hAnsi="Calibri" w:cstheme="minorBidi"/>
          <w:iCs/>
          <w:color w:val="000000" w:themeColor="text1"/>
          <w:kern w:val="24"/>
          <w:szCs w:val="28"/>
        </w:rPr>
        <w:t xml:space="preserve">p. 102, </w:t>
      </w:r>
      <w:r w:rsidRPr="009F2525">
        <w:rPr>
          <w:rFonts w:ascii="Calibri" w:hAnsi="Calibri" w:cstheme="minorBidi"/>
          <w:color w:val="000000" w:themeColor="text1"/>
          <w:kern w:val="24"/>
          <w:szCs w:val="28"/>
        </w:rPr>
        <w:t xml:space="preserve">National Council of Teachers of Mathematics. </w:t>
      </w:r>
    </w:p>
    <w:p w:rsidR="00A407A2" w:rsidRPr="00A407A2" w:rsidRDefault="00A407A2" w:rsidP="00A407A2">
      <w:pPr>
        <w:rPr>
          <w:sz w:val="24"/>
        </w:rPr>
      </w:pPr>
    </w:p>
    <w:p w:rsidR="00A407A2" w:rsidRDefault="00A407A2"/>
    <w:p w:rsidR="00A407A2" w:rsidRDefault="00A407A2"/>
    <w:sectPr w:rsidR="00A407A2" w:rsidSect="00A407A2">
      <w:foot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A2" w:rsidRDefault="00A407A2" w:rsidP="00A407A2">
      <w:pPr>
        <w:spacing w:after="0" w:line="240" w:lineRule="auto"/>
      </w:pPr>
      <w:r>
        <w:separator/>
      </w:r>
    </w:p>
  </w:endnote>
  <w:endnote w:type="continuationSeparator" w:id="0">
    <w:p w:rsidR="00A407A2" w:rsidRDefault="00A407A2" w:rsidP="00A4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67" w:rsidRPr="004F4767" w:rsidRDefault="004F4767" w:rsidP="004F4767">
    <w:pPr>
      <w:pStyle w:val="Footer"/>
    </w:pPr>
    <w:r>
      <w:t>Virginia Department of Education</w:t>
    </w:r>
    <w:r>
      <w:tab/>
    </w:r>
    <w:r>
      <w:ptab w:relativeTo="margin" w:alignment="center" w:leader="none"/>
    </w:r>
    <w:r>
      <w:ptab w:relativeTo="margin" w:alignment="right" w:leader="none"/>
    </w:r>
    <w:r>
      <w:t>Mathematics Institute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A2" w:rsidRDefault="00A407A2" w:rsidP="00A407A2">
      <w:pPr>
        <w:spacing w:after="0" w:line="240" w:lineRule="auto"/>
      </w:pPr>
      <w:r>
        <w:separator/>
      </w:r>
    </w:p>
  </w:footnote>
  <w:footnote w:type="continuationSeparator" w:id="0">
    <w:p w:rsidR="00A407A2" w:rsidRDefault="00A407A2" w:rsidP="00A4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0AC5"/>
    <w:multiLevelType w:val="hybridMultilevel"/>
    <w:tmpl w:val="9B9E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C786D"/>
    <w:multiLevelType w:val="hybridMultilevel"/>
    <w:tmpl w:val="6D9C98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735B4C"/>
    <w:multiLevelType w:val="hybridMultilevel"/>
    <w:tmpl w:val="8BAA9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54331"/>
    <w:multiLevelType w:val="hybridMultilevel"/>
    <w:tmpl w:val="F7D66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23"/>
    <w:rsid w:val="00482C27"/>
    <w:rsid w:val="00487935"/>
    <w:rsid w:val="004F4767"/>
    <w:rsid w:val="0054756B"/>
    <w:rsid w:val="007D25DF"/>
    <w:rsid w:val="00803623"/>
    <w:rsid w:val="008055D0"/>
    <w:rsid w:val="00A407A2"/>
    <w:rsid w:val="00BC622C"/>
    <w:rsid w:val="00D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E97C"/>
  <w15:chartTrackingRefBased/>
  <w15:docId w15:val="{FDFD9510-53A6-46FF-B253-91605ABE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86AA6"/>
    <w:rPr>
      <w:color w:val="808080"/>
    </w:rPr>
  </w:style>
  <w:style w:type="paragraph" w:styleId="ListParagraph">
    <w:name w:val="List Paragraph"/>
    <w:basedOn w:val="Normal"/>
    <w:uiPriority w:val="34"/>
    <w:qFormat/>
    <w:rsid w:val="00482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7A2"/>
  </w:style>
  <w:style w:type="paragraph" w:styleId="Footer">
    <w:name w:val="footer"/>
    <w:basedOn w:val="Normal"/>
    <w:link w:val="FooterChar"/>
    <w:uiPriority w:val="99"/>
    <w:unhideWhenUsed/>
    <w:rsid w:val="00A40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7A2"/>
  </w:style>
  <w:style w:type="paragraph" w:styleId="BalloonText">
    <w:name w:val="Balloon Text"/>
    <w:basedOn w:val="Normal"/>
    <w:link w:val="BalloonTextChar"/>
    <w:uiPriority w:val="99"/>
    <w:semiHidden/>
    <w:unhideWhenUsed/>
    <w:rsid w:val="004F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Public Schools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White</dc:creator>
  <cp:keywords/>
  <dc:description/>
  <cp:lastModifiedBy>Delozier, Debra (DOE)</cp:lastModifiedBy>
  <cp:revision>2</cp:revision>
  <cp:lastPrinted>2018-09-11T17:55:00Z</cp:lastPrinted>
  <dcterms:created xsi:type="dcterms:W3CDTF">2018-07-03T11:57:00Z</dcterms:created>
  <dcterms:modified xsi:type="dcterms:W3CDTF">2018-09-11T17:55:00Z</dcterms:modified>
</cp:coreProperties>
</file>