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21"/>
        <w:tblW w:w="14687" w:type="dxa"/>
        <w:tblLayout w:type="fixed"/>
        <w:tblLook w:val="04A0" w:firstRow="1" w:lastRow="0" w:firstColumn="1" w:lastColumn="0" w:noHBand="0" w:noVBand="1"/>
      </w:tblPr>
      <w:tblGrid>
        <w:gridCol w:w="6158"/>
        <w:gridCol w:w="1577"/>
        <w:gridCol w:w="1713"/>
        <w:gridCol w:w="1746"/>
        <w:gridCol w:w="1851"/>
        <w:gridCol w:w="1642"/>
      </w:tblGrid>
      <w:tr w:rsidR="00E952A2" w:rsidRPr="00CF56B7" w:rsidTr="00E952A2">
        <w:trPr>
          <w:trHeight w:val="409"/>
        </w:trPr>
        <w:tc>
          <w:tcPr>
            <w:tcW w:w="6158" w:type="dxa"/>
            <w:vMerge w:val="restart"/>
            <w:shd w:val="clear" w:color="auto" w:fill="auto"/>
            <w:vAlign w:val="center"/>
          </w:tcPr>
          <w:p w:rsidR="005D54B1" w:rsidRDefault="00F71646" w:rsidP="00E952A2">
            <w:pPr>
              <w:jc w:val="center"/>
              <w:rPr>
                <w:rFonts w:asciiTheme="minorHAnsi" w:hAnsiTheme="minorHAnsi" w:cstheme="minorHAnsi"/>
                <w:b/>
                <w:sz w:val="28"/>
                <w:szCs w:val="28"/>
              </w:rPr>
            </w:pPr>
            <w:r w:rsidRPr="00BB2CC6">
              <w:rPr>
                <w:rFonts w:asciiTheme="minorHAnsi" w:hAnsiTheme="minorHAnsi" w:cstheme="minorHAnsi"/>
                <w:b/>
                <w:i/>
                <w:sz w:val="28"/>
                <w:szCs w:val="28"/>
              </w:rPr>
              <w:t>Principles to Action</w:t>
            </w:r>
            <w:r w:rsidRPr="00BB2CC6">
              <w:rPr>
                <w:rFonts w:asciiTheme="minorHAnsi" w:hAnsiTheme="minorHAnsi" w:cstheme="minorHAnsi"/>
                <w:b/>
                <w:sz w:val="28"/>
                <w:szCs w:val="28"/>
              </w:rPr>
              <w:t xml:space="preserve"> –</w:t>
            </w:r>
          </w:p>
          <w:p w:rsidR="00F71646" w:rsidRPr="00F71646" w:rsidRDefault="00F71646" w:rsidP="00E952A2">
            <w:pPr>
              <w:jc w:val="center"/>
              <w:rPr>
                <w:rFonts w:asciiTheme="minorHAnsi" w:hAnsiTheme="minorHAnsi" w:cstheme="minorHAnsi"/>
                <w:b/>
                <w:sz w:val="28"/>
                <w:szCs w:val="28"/>
              </w:rPr>
            </w:pPr>
            <w:r w:rsidRPr="00BB2CC6">
              <w:rPr>
                <w:rFonts w:asciiTheme="minorHAnsi" w:hAnsiTheme="minorHAnsi" w:cstheme="minorHAnsi"/>
                <w:b/>
                <w:sz w:val="28"/>
                <w:szCs w:val="28"/>
              </w:rPr>
              <w:t>Mathematics Teaching Practices</w:t>
            </w:r>
          </w:p>
        </w:tc>
        <w:tc>
          <w:tcPr>
            <w:tcW w:w="8529" w:type="dxa"/>
            <w:gridSpan w:val="5"/>
            <w:shd w:val="clear" w:color="auto" w:fill="FFFFFF" w:themeFill="background1"/>
          </w:tcPr>
          <w:p w:rsidR="00F71646" w:rsidRPr="00F71646" w:rsidRDefault="00F71646" w:rsidP="00E952A2">
            <w:pPr>
              <w:jc w:val="center"/>
              <w:rPr>
                <w:rFonts w:asciiTheme="minorHAnsi" w:hAnsiTheme="minorHAnsi" w:cstheme="minorHAnsi"/>
                <w:b/>
                <w:sz w:val="28"/>
                <w:szCs w:val="28"/>
              </w:rPr>
            </w:pPr>
            <w:r w:rsidRPr="00BB2CC6">
              <w:rPr>
                <w:rFonts w:asciiTheme="minorHAnsi" w:hAnsiTheme="minorHAnsi" w:cstheme="minorHAnsi"/>
                <w:b/>
                <w:sz w:val="28"/>
                <w:szCs w:val="28"/>
              </w:rPr>
              <w:t>Related Virginia Mathematics Process Goals</w:t>
            </w:r>
          </w:p>
        </w:tc>
      </w:tr>
      <w:tr w:rsidR="00E952A2" w:rsidRPr="00CF56B7" w:rsidTr="00E952A2">
        <w:trPr>
          <w:trHeight w:val="428"/>
        </w:trPr>
        <w:tc>
          <w:tcPr>
            <w:tcW w:w="6158" w:type="dxa"/>
            <w:vMerge/>
            <w:shd w:val="clear" w:color="auto" w:fill="auto"/>
            <w:vAlign w:val="center"/>
          </w:tcPr>
          <w:p w:rsidR="00F71646" w:rsidRPr="00BB2CC6" w:rsidRDefault="00F71646" w:rsidP="00E952A2">
            <w:pPr>
              <w:jc w:val="center"/>
              <w:rPr>
                <w:rFonts w:asciiTheme="minorHAnsi" w:hAnsiTheme="minorHAnsi" w:cstheme="minorHAnsi"/>
                <w:b/>
                <w:i/>
                <w:sz w:val="28"/>
                <w:szCs w:val="28"/>
              </w:rPr>
            </w:pPr>
          </w:p>
        </w:tc>
        <w:tc>
          <w:tcPr>
            <w:tcW w:w="1577" w:type="dxa"/>
            <w:shd w:val="clear" w:color="auto" w:fill="F8C2EE"/>
            <w:vAlign w:val="center"/>
          </w:tcPr>
          <w:p w:rsidR="00F71646" w:rsidRPr="00F71646" w:rsidRDefault="00F71646" w:rsidP="00E952A2">
            <w:pPr>
              <w:jc w:val="center"/>
              <w:rPr>
                <w:rFonts w:asciiTheme="minorHAnsi" w:hAnsiTheme="minorHAnsi" w:cstheme="minorHAnsi"/>
                <w:b/>
                <w:sz w:val="20"/>
                <w:szCs w:val="20"/>
              </w:rPr>
            </w:pPr>
            <w:r w:rsidRPr="00F71646">
              <w:rPr>
                <w:rFonts w:asciiTheme="minorHAnsi" w:hAnsiTheme="minorHAnsi" w:cstheme="minorHAnsi"/>
                <w:b/>
                <w:sz w:val="20"/>
                <w:szCs w:val="20"/>
              </w:rPr>
              <w:t>Problem Solving</w:t>
            </w:r>
          </w:p>
        </w:tc>
        <w:tc>
          <w:tcPr>
            <w:tcW w:w="1713" w:type="dxa"/>
            <w:shd w:val="clear" w:color="auto" w:fill="BFA7E3"/>
            <w:vAlign w:val="center"/>
          </w:tcPr>
          <w:p w:rsidR="00F71646" w:rsidRPr="00F71646" w:rsidRDefault="00F71646" w:rsidP="00E952A2">
            <w:pPr>
              <w:jc w:val="center"/>
              <w:rPr>
                <w:rFonts w:asciiTheme="minorHAnsi" w:hAnsiTheme="minorHAnsi" w:cstheme="minorHAnsi"/>
                <w:b/>
                <w:sz w:val="20"/>
                <w:szCs w:val="20"/>
              </w:rPr>
            </w:pPr>
            <w:r w:rsidRPr="00F71646">
              <w:rPr>
                <w:rFonts w:asciiTheme="minorHAnsi" w:hAnsiTheme="minorHAnsi" w:cstheme="minorHAnsi"/>
                <w:b/>
                <w:sz w:val="20"/>
                <w:szCs w:val="20"/>
              </w:rPr>
              <w:t>Connections</w:t>
            </w:r>
          </w:p>
        </w:tc>
        <w:tc>
          <w:tcPr>
            <w:tcW w:w="1746" w:type="dxa"/>
            <w:shd w:val="clear" w:color="auto" w:fill="FFC000"/>
            <w:vAlign w:val="center"/>
          </w:tcPr>
          <w:p w:rsidR="00F71646" w:rsidRPr="00F71646" w:rsidRDefault="00F71646" w:rsidP="00E952A2">
            <w:pPr>
              <w:jc w:val="center"/>
              <w:rPr>
                <w:rFonts w:asciiTheme="minorHAnsi" w:hAnsiTheme="minorHAnsi" w:cstheme="minorHAnsi"/>
                <w:b/>
                <w:sz w:val="20"/>
                <w:szCs w:val="20"/>
              </w:rPr>
            </w:pPr>
            <w:r w:rsidRPr="00F71646">
              <w:rPr>
                <w:rFonts w:asciiTheme="minorHAnsi" w:hAnsiTheme="minorHAnsi" w:cstheme="minorHAnsi"/>
                <w:b/>
                <w:sz w:val="20"/>
                <w:szCs w:val="20"/>
              </w:rPr>
              <w:t>Communications</w:t>
            </w:r>
          </w:p>
        </w:tc>
        <w:tc>
          <w:tcPr>
            <w:tcW w:w="1851" w:type="dxa"/>
            <w:shd w:val="clear" w:color="auto" w:fill="00B0F0"/>
            <w:vAlign w:val="center"/>
          </w:tcPr>
          <w:p w:rsidR="00F71646" w:rsidRPr="00F71646" w:rsidRDefault="00F71646" w:rsidP="00E952A2">
            <w:pPr>
              <w:jc w:val="center"/>
              <w:rPr>
                <w:rFonts w:asciiTheme="minorHAnsi" w:hAnsiTheme="minorHAnsi" w:cstheme="minorHAnsi"/>
                <w:b/>
                <w:sz w:val="20"/>
                <w:szCs w:val="20"/>
              </w:rPr>
            </w:pPr>
            <w:r w:rsidRPr="00F71646">
              <w:rPr>
                <w:rFonts w:asciiTheme="minorHAnsi" w:hAnsiTheme="minorHAnsi" w:cstheme="minorHAnsi"/>
                <w:b/>
                <w:sz w:val="20"/>
                <w:szCs w:val="20"/>
              </w:rPr>
              <w:t>Representations</w:t>
            </w:r>
          </w:p>
        </w:tc>
        <w:tc>
          <w:tcPr>
            <w:tcW w:w="1642" w:type="dxa"/>
            <w:shd w:val="clear" w:color="auto" w:fill="BDD6EE" w:themeFill="accent1" w:themeFillTint="66"/>
            <w:vAlign w:val="center"/>
          </w:tcPr>
          <w:p w:rsidR="00F71646" w:rsidRPr="00F71646" w:rsidRDefault="00F71646" w:rsidP="00E952A2">
            <w:pPr>
              <w:jc w:val="center"/>
              <w:rPr>
                <w:rFonts w:asciiTheme="minorHAnsi" w:hAnsiTheme="minorHAnsi" w:cstheme="minorHAnsi"/>
                <w:b/>
                <w:sz w:val="20"/>
                <w:szCs w:val="20"/>
              </w:rPr>
            </w:pPr>
            <w:r w:rsidRPr="00F71646">
              <w:rPr>
                <w:rFonts w:asciiTheme="minorHAnsi" w:hAnsiTheme="minorHAnsi" w:cstheme="minorHAnsi"/>
                <w:b/>
                <w:sz w:val="20"/>
                <w:szCs w:val="20"/>
              </w:rPr>
              <w:t>Reasoning</w:t>
            </w:r>
          </w:p>
        </w:tc>
      </w:tr>
      <w:tr w:rsidR="00E952A2" w:rsidRPr="00CF56B7" w:rsidTr="00E952A2">
        <w:trPr>
          <w:trHeight w:val="1061"/>
        </w:trPr>
        <w:tc>
          <w:tcPr>
            <w:tcW w:w="6158" w:type="dxa"/>
          </w:tcPr>
          <w:p w:rsidR="005D54B1" w:rsidRDefault="00F71646" w:rsidP="00E952A2">
            <w:pPr>
              <w:rPr>
                <w:rFonts w:asciiTheme="minorHAnsi" w:hAnsiTheme="minorHAnsi" w:cstheme="minorHAnsi"/>
                <w:sz w:val="20"/>
                <w:szCs w:val="20"/>
              </w:rPr>
            </w:pPr>
            <w:r w:rsidRPr="00E952A2">
              <w:rPr>
                <w:rFonts w:asciiTheme="minorHAnsi" w:hAnsiTheme="minorHAnsi" w:cstheme="minorHAnsi"/>
                <w:color w:val="0033CC"/>
                <w:sz w:val="20"/>
                <w:szCs w:val="20"/>
              </w:rPr>
              <w:t>1. Establish mathematics goals to focus learning.</w:t>
            </w:r>
            <w:r w:rsidRPr="00E952A2">
              <w:rPr>
                <w:rFonts w:asciiTheme="minorHAnsi" w:hAnsiTheme="minorHAnsi" w:cstheme="minorHAnsi"/>
                <w:sz w:val="20"/>
                <w:szCs w:val="20"/>
              </w:rPr>
              <w:t xml:space="preserve">  </w:t>
            </w:r>
          </w:p>
          <w:p w:rsidR="00F71646" w:rsidRPr="00E952A2" w:rsidRDefault="00F71646"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establishes clear goals for the mathematics that students are learning, situates goals within learning progressions, and uses the goals to guide instructional decisions.</w:t>
            </w:r>
          </w:p>
        </w:tc>
        <w:tc>
          <w:tcPr>
            <w:tcW w:w="1577" w:type="dxa"/>
          </w:tcPr>
          <w:p w:rsidR="00F71646" w:rsidRPr="00CF56B7" w:rsidRDefault="00F71646" w:rsidP="00E952A2">
            <w:pPr>
              <w:rPr>
                <w:rFonts w:asciiTheme="minorHAnsi" w:hAnsiTheme="minorHAnsi" w:cstheme="minorHAnsi"/>
                <w:b/>
                <w:color w:val="0033CC"/>
                <w:sz w:val="24"/>
                <w:szCs w:val="24"/>
              </w:rPr>
            </w:pPr>
          </w:p>
        </w:tc>
        <w:tc>
          <w:tcPr>
            <w:tcW w:w="1713" w:type="dxa"/>
          </w:tcPr>
          <w:p w:rsidR="00F71646" w:rsidRPr="00CF56B7" w:rsidRDefault="00F71646" w:rsidP="00E952A2">
            <w:pPr>
              <w:rPr>
                <w:rFonts w:asciiTheme="minorHAnsi" w:hAnsiTheme="minorHAnsi" w:cstheme="minorHAnsi"/>
                <w:b/>
                <w:color w:val="0033CC"/>
                <w:sz w:val="24"/>
                <w:szCs w:val="24"/>
              </w:rPr>
            </w:pPr>
          </w:p>
        </w:tc>
        <w:tc>
          <w:tcPr>
            <w:tcW w:w="1746" w:type="dxa"/>
          </w:tcPr>
          <w:p w:rsidR="00F71646" w:rsidRPr="00CF56B7" w:rsidRDefault="00F71646" w:rsidP="00E952A2">
            <w:pPr>
              <w:rPr>
                <w:rFonts w:asciiTheme="minorHAnsi" w:hAnsiTheme="minorHAnsi" w:cstheme="minorHAnsi"/>
                <w:b/>
                <w:color w:val="0033CC"/>
                <w:sz w:val="24"/>
                <w:szCs w:val="24"/>
              </w:rPr>
            </w:pPr>
          </w:p>
        </w:tc>
        <w:tc>
          <w:tcPr>
            <w:tcW w:w="1851" w:type="dxa"/>
          </w:tcPr>
          <w:p w:rsidR="00F71646" w:rsidRPr="00CF56B7" w:rsidRDefault="00F71646" w:rsidP="00E952A2">
            <w:pPr>
              <w:rPr>
                <w:rFonts w:asciiTheme="minorHAnsi" w:hAnsiTheme="minorHAnsi" w:cstheme="minorHAnsi"/>
                <w:b/>
                <w:color w:val="0033CC"/>
                <w:sz w:val="24"/>
                <w:szCs w:val="24"/>
              </w:rPr>
            </w:pPr>
          </w:p>
        </w:tc>
        <w:tc>
          <w:tcPr>
            <w:tcW w:w="1642" w:type="dxa"/>
          </w:tcPr>
          <w:p w:rsidR="00F71646" w:rsidRPr="00CF56B7" w:rsidRDefault="00F71646" w:rsidP="00E952A2">
            <w:pPr>
              <w:rPr>
                <w:rFonts w:asciiTheme="minorHAnsi" w:hAnsiTheme="minorHAnsi" w:cstheme="minorHAnsi"/>
                <w:color w:val="0033CC"/>
                <w:sz w:val="24"/>
                <w:szCs w:val="24"/>
              </w:rPr>
            </w:pPr>
          </w:p>
        </w:tc>
      </w:tr>
      <w:tr w:rsidR="00E952A2" w:rsidRPr="00CF56B7" w:rsidTr="005D54B1">
        <w:trPr>
          <w:trHeight w:val="1115"/>
        </w:trPr>
        <w:tc>
          <w:tcPr>
            <w:tcW w:w="6158" w:type="dxa"/>
          </w:tcPr>
          <w:p w:rsidR="00F71646" w:rsidRPr="00E952A2" w:rsidRDefault="00F71646" w:rsidP="00E952A2">
            <w:pPr>
              <w:rPr>
                <w:rFonts w:asciiTheme="minorHAnsi" w:hAnsiTheme="minorHAnsi" w:cstheme="minorHAnsi"/>
                <w:sz w:val="20"/>
                <w:szCs w:val="20"/>
              </w:rPr>
            </w:pPr>
            <w:r w:rsidRPr="00E952A2">
              <w:rPr>
                <w:rFonts w:asciiTheme="minorHAnsi" w:hAnsiTheme="minorHAnsi" w:cstheme="minorHAnsi"/>
                <w:color w:val="0033CC"/>
                <w:sz w:val="20"/>
                <w:szCs w:val="20"/>
              </w:rPr>
              <w:t>2. Implement tasks that promote reasoning and problem solving.</w:t>
            </w:r>
            <w:r w:rsidRPr="00E952A2">
              <w:rPr>
                <w:rFonts w:asciiTheme="minorHAnsi" w:hAnsiTheme="minorHAnsi" w:cstheme="minorHAnsi"/>
                <w:sz w:val="20"/>
                <w:szCs w:val="20"/>
              </w:rPr>
              <w:t xml:space="preserve"> Effective teaching of mathematics engages students in solving and discussing tasks that promote mathematical reasoning and problem solving and allow multiple entry points and varied solution strategies.</w:t>
            </w:r>
          </w:p>
        </w:tc>
        <w:tc>
          <w:tcPr>
            <w:tcW w:w="1577" w:type="dxa"/>
          </w:tcPr>
          <w:p w:rsidR="00F71646" w:rsidRPr="00CF56B7" w:rsidRDefault="00F71646" w:rsidP="00E952A2">
            <w:pPr>
              <w:rPr>
                <w:rFonts w:asciiTheme="minorHAnsi" w:hAnsiTheme="minorHAnsi" w:cstheme="minorHAnsi"/>
                <w:b/>
                <w:color w:val="0033CC"/>
                <w:sz w:val="24"/>
                <w:szCs w:val="24"/>
              </w:rPr>
            </w:pPr>
          </w:p>
        </w:tc>
        <w:tc>
          <w:tcPr>
            <w:tcW w:w="1713" w:type="dxa"/>
          </w:tcPr>
          <w:p w:rsidR="00F71646" w:rsidRPr="00CF56B7" w:rsidRDefault="00F71646" w:rsidP="00E952A2">
            <w:pPr>
              <w:rPr>
                <w:rFonts w:asciiTheme="minorHAnsi" w:hAnsiTheme="minorHAnsi" w:cstheme="minorHAnsi"/>
                <w:b/>
                <w:color w:val="0033CC"/>
                <w:sz w:val="24"/>
                <w:szCs w:val="24"/>
              </w:rPr>
            </w:pPr>
          </w:p>
        </w:tc>
        <w:tc>
          <w:tcPr>
            <w:tcW w:w="1746" w:type="dxa"/>
          </w:tcPr>
          <w:p w:rsidR="00F71646" w:rsidRPr="00CF56B7" w:rsidRDefault="00F71646" w:rsidP="00E952A2">
            <w:pPr>
              <w:rPr>
                <w:rFonts w:asciiTheme="minorHAnsi" w:hAnsiTheme="minorHAnsi" w:cstheme="minorHAnsi"/>
                <w:b/>
                <w:color w:val="0033CC"/>
                <w:sz w:val="24"/>
                <w:szCs w:val="24"/>
              </w:rPr>
            </w:pPr>
          </w:p>
        </w:tc>
        <w:tc>
          <w:tcPr>
            <w:tcW w:w="1851" w:type="dxa"/>
          </w:tcPr>
          <w:p w:rsidR="00F71646" w:rsidRPr="00CF56B7" w:rsidRDefault="00F71646" w:rsidP="00E952A2">
            <w:pPr>
              <w:rPr>
                <w:rFonts w:asciiTheme="minorHAnsi" w:hAnsiTheme="minorHAnsi" w:cstheme="minorHAnsi"/>
                <w:b/>
                <w:color w:val="0033CC"/>
                <w:sz w:val="24"/>
                <w:szCs w:val="24"/>
              </w:rPr>
            </w:pPr>
          </w:p>
        </w:tc>
        <w:tc>
          <w:tcPr>
            <w:tcW w:w="1642" w:type="dxa"/>
          </w:tcPr>
          <w:p w:rsidR="00F71646" w:rsidRPr="00CF56B7" w:rsidRDefault="00F71646" w:rsidP="00E952A2">
            <w:pPr>
              <w:rPr>
                <w:rFonts w:asciiTheme="minorHAnsi" w:hAnsiTheme="minorHAnsi" w:cstheme="minorHAnsi"/>
                <w:color w:val="0033CC"/>
                <w:sz w:val="24"/>
                <w:szCs w:val="24"/>
              </w:rPr>
            </w:pPr>
          </w:p>
        </w:tc>
      </w:tr>
      <w:tr w:rsidR="00800D23" w:rsidRPr="00CF56B7" w:rsidTr="00E952A2">
        <w:trPr>
          <w:trHeight w:val="1358"/>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3. Use and connect mathematical representations.</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engages students in making connections among mathematical representations to deepen understanding of mathematics concepts and procedures and as tools for problem solving.</w:t>
            </w:r>
          </w:p>
        </w:tc>
        <w:tc>
          <w:tcPr>
            <w:tcW w:w="1577" w:type="dxa"/>
          </w:tcPr>
          <w:p w:rsidR="00800D23" w:rsidRPr="00CF56B7" w:rsidRDefault="00800D23" w:rsidP="00E952A2">
            <w:pPr>
              <w:rPr>
                <w:rFonts w:asciiTheme="minorHAnsi" w:hAnsiTheme="minorHAnsi" w:cstheme="minorHAnsi"/>
                <w:b/>
                <w:color w:val="0033CC"/>
                <w:sz w:val="24"/>
                <w:szCs w:val="24"/>
              </w:rPr>
            </w:pPr>
          </w:p>
        </w:tc>
        <w:tc>
          <w:tcPr>
            <w:tcW w:w="1713" w:type="dxa"/>
          </w:tcPr>
          <w:p w:rsidR="00800D23" w:rsidRPr="00CF56B7" w:rsidRDefault="00800D23" w:rsidP="00E952A2">
            <w:pPr>
              <w:rPr>
                <w:rFonts w:asciiTheme="minorHAnsi" w:hAnsiTheme="minorHAnsi" w:cstheme="minorHAnsi"/>
                <w:b/>
                <w:color w:val="0033CC"/>
                <w:sz w:val="24"/>
                <w:szCs w:val="24"/>
              </w:rPr>
            </w:pPr>
          </w:p>
        </w:tc>
        <w:tc>
          <w:tcPr>
            <w:tcW w:w="1746" w:type="dxa"/>
          </w:tcPr>
          <w:p w:rsidR="00800D23" w:rsidRPr="00CF56B7" w:rsidRDefault="00800D23" w:rsidP="00E952A2">
            <w:pPr>
              <w:rPr>
                <w:rFonts w:asciiTheme="minorHAnsi" w:hAnsiTheme="minorHAnsi" w:cstheme="minorHAnsi"/>
                <w:b/>
                <w:color w:val="0033CC"/>
                <w:sz w:val="24"/>
                <w:szCs w:val="24"/>
              </w:rPr>
            </w:pPr>
          </w:p>
        </w:tc>
        <w:tc>
          <w:tcPr>
            <w:tcW w:w="1851" w:type="dxa"/>
          </w:tcPr>
          <w:p w:rsidR="00800D23" w:rsidRPr="00CF56B7" w:rsidRDefault="00800D23" w:rsidP="00E952A2">
            <w:pPr>
              <w:rPr>
                <w:rFonts w:asciiTheme="minorHAnsi" w:hAnsiTheme="minorHAnsi" w:cstheme="minorHAnsi"/>
                <w:b/>
                <w:color w:val="0033CC"/>
                <w:sz w:val="24"/>
                <w:szCs w:val="24"/>
              </w:rPr>
            </w:pPr>
          </w:p>
        </w:tc>
        <w:tc>
          <w:tcPr>
            <w:tcW w:w="1642" w:type="dxa"/>
          </w:tcPr>
          <w:p w:rsidR="00800D23" w:rsidRPr="00CF56B7" w:rsidRDefault="00800D23" w:rsidP="00E952A2">
            <w:pPr>
              <w:rPr>
                <w:rFonts w:asciiTheme="minorHAnsi" w:hAnsiTheme="minorHAnsi" w:cstheme="minorHAnsi"/>
                <w:color w:val="0033CC"/>
                <w:sz w:val="24"/>
                <w:szCs w:val="24"/>
              </w:rPr>
            </w:pPr>
          </w:p>
        </w:tc>
      </w:tr>
      <w:tr w:rsidR="00800D23" w:rsidRPr="00CF56B7" w:rsidTr="00E952A2">
        <w:trPr>
          <w:trHeight w:val="1232"/>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4. Facilitate meaningful mathematical discourse.</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facilitates discourse among students to build shared understanding of mathematical ideas by analyzing and comparing student approaches and arguments.</w:t>
            </w:r>
          </w:p>
        </w:tc>
        <w:tc>
          <w:tcPr>
            <w:tcW w:w="1577" w:type="dxa"/>
          </w:tcPr>
          <w:p w:rsidR="00800D23" w:rsidRPr="00CF56B7" w:rsidRDefault="00800D23" w:rsidP="00E952A2">
            <w:pPr>
              <w:rPr>
                <w:rFonts w:asciiTheme="minorHAnsi" w:hAnsiTheme="minorHAnsi" w:cstheme="minorHAnsi"/>
                <w:b/>
                <w:color w:val="0033CC"/>
                <w:sz w:val="24"/>
                <w:szCs w:val="24"/>
              </w:rPr>
            </w:pPr>
          </w:p>
        </w:tc>
        <w:tc>
          <w:tcPr>
            <w:tcW w:w="1713" w:type="dxa"/>
          </w:tcPr>
          <w:p w:rsidR="00800D23" w:rsidRPr="00CF56B7" w:rsidRDefault="00800D23" w:rsidP="00E952A2">
            <w:pPr>
              <w:rPr>
                <w:rFonts w:asciiTheme="minorHAnsi" w:hAnsiTheme="minorHAnsi" w:cstheme="minorHAnsi"/>
                <w:b/>
                <w:color w:val="0033CC"/>
                <w:sz w:val="24"/>
                <w:szCs w:val="24"/>
              </w:rPr>
            </w:pPr>
          </w:p>
        </w:tc>
        <w:tc>
          <w:tcPr>
            <w:tcW w:w="1746" w:type="dxa"/>
          </w:tcPr>
          <w:p w:rsidR="00800D23" w:rsidRPr="00CF56B7" w:rsidRDefault="00800D23" w:rsidP="00E952A2">
            <w:pPr>
              <w:rPr>
                <w:rFonts w:asciiTheme="minorHAnsi" w:hAnsiTheme="minorHAnsi" w:cstheme="minorHAnsi"/>
                <w:b/>
                <w:color w:val="0033CC"/>
                <w:sz w:val="24"/>
                <w:szCs w:val="24"/>
              </w:rPr>
            </w:pPr>
          </w:p>
        </w:tc>
        <w:tc>
          <w:tcPr>
            <w:tcW w:w="1851" w:type="dxa"/>
          </w:tcPr>
          <w:p w:rsidR="00800D23" w:rsidRPr="00CF56B7" w:rsidRDefault="00800D23" w:rsidP="00E952A2">
            <w:pPr>
              <w:rPr>
                <w:rFonts w:asciiTheme="minorHAnsi" w:hAnsiTheme="minorHAnsi" w:cstheme="minorHAnsi"/>
                <w:b/>
                <w:color w:val="0033CC"/>
                <w:sz w:val="24"/>
                <w:szCs w:val="24"/>
              </w:rPr>
            </w:pPr>
          </w:p>
        </w:tc>
        <w:tc>
          <w:tcPr>
            <w:tcW w:w="1642" w:type="dxa"/>
          </w:tcPr>
          <w:p w:rsidR="00800D23" w:rsidRPr="00CF56B7" w:rsidRDefault="00800D23" w:rsidP="00E952A2">
            <w:pPr>
              <w:rPr>
                <w:rFonts w:asciiTheme="minorHAnsi" w:hAnsiTheme="minorHAnsi" w:cstheme="minorHAnsi"/>
                <w:color w:val="0033CC"/>
                <w:sz w:val="24"/>
                <w:szCs w:val="24"/>
              </w:rPr>
            </w:pPr>
          </w:p>
        </w:tc>
      </w:tr>
      <w:tr w:rsidR="00800D23" w:rsidRPr="00CF56B7" w:rsidTr="00E952A2">
        <w:trPr>
          <w:trHeight w:val="1178"/>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5. Pose purposeful questions.</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uses purposeful questions to assess and advance students’ reasoning and sense making about important mathematical ideas and relationships.</w:t>
            </w:r>
          </w:p>
        </w:tc>
        <w:tc>
          <w:tcPr>
            <w:tcW w:w="1577" w:type="dxa"/>
          </w:tcPr>
          <w:p w:rsidR="00800D23" w:rsidRPr="00CF56B7" w:rsidRDefault="00800D23" w:rsidP="00E952A2">
            <w:pPr>
              <w:rPr>
                <w:rFonts w:asciiTheme="minorHAnsi" w:hAnsiTheme="minorHAnsi" w:cstheme="minorHAnsi"/>
                <w:b/>
                <w:color w:val="0033CC"/>
                <w:sz w:val="24"/>
                <w:szCs w:val="24"/>
              </w:rPr>
            </w:pPr>
          </w:p>
        </w:tc>
        <w:tc>
          <w:tcPr>
            <w:tcW w:w="1713" w:type="dxa"/>
          </w:tcPr>
          <w:p w:rsidR="00800D23" w:rsidRPr="00CF56B7" w:rsidRDefault="00800D23" w:rsidP="00E952A2">
            <w:pPr>
              <w:rPr>
                <w:rFonts w:asciiTheme="minorHAnsi" w:hAnsiTheme="minorHAnsi" w:cstheme="minorHAnsi"/>
                <w:b/>
                <w:color w:val="0033CC"/>
                <w:sz w:val="24"/>
                <w:szCs w:val="24"/>
              </w:rPr>
            </w:pPr>
          </w:p>
        </w:tc>
        <w:tc>
          <w:tcPr>
            <w:tcW w:w="1746" w:type="dxa"/>
          </w:tcPr>
          <w:p w:rsidR="00800D23" w:rsidRPr="00CF56B7" w:rsidRDefault="00800D23" w:rsidP="00E952A2">
            <w:pPr>
              <w:rPr>
                <w:rFonts w:asciiTheme="minorHAnsi" w:hAnsiTheme="minorHAnsi" w:cstheme="minorHAnsi"/>
                <w:b/>
                <w:color w:val="0033CC"/>
                <w:sz w:val="24"/>
                <w:szCs w:val="24"/>
              </w:rPr>
            </w:pPr>
          </w:p>
        </w:tc>
        <w:tc>
          <w:tcPr>
            <w:tcW w:w="1851" w:type="dxa"/>
          </w:tcPr>
          <w:p w:rsidR="00800D23" w:rsidRPr="00CF56B7" w:rsidRDefault="00800D23" w:rsidP="00E952A2">
            <w:pPr>
              <w:rPr>
                <w:rFonts w:asciiTheme="minorHAnsi" w:hAnsiTheme="minorHAnsi" w:cstheme="minorHAnsi"/>
                <w:b/>
                <w:color w:val="0033CC"/>
                <w:sz w:val="24"/>
                <w:szCs w:val="24"/>
              </w:rPr>
            </w:pPr>
          </w:p>
        </w:tc>
        <w:tc>
          <w:tcPr>
            <w:tcW w:w="1642" w:type="dxa"/>
          </w:tcPr>
          <w:p w:rsidR="00800D23" w:rsidRPr="00CF56B7" w:rsidRDefault="00800D23" w:rsidP="00E952A2">
            <w:pPr>
              <w:rPr>
                <w:rFonts w:asciiTheme="minorHAnsi" w:hAnsiTheme="minorHAnsi" w:cstheme="minorHAnsi"/>
                <w:color w:val="0033CC"/>
                <w:sz w:val="24"/>
                <w:szCs w:val="24"/>
              </w:rPr>
            </w:pPr>
          </w:p>
        </w:tc>
      </w:tr>
      <w:tr w:rsidR="00800D23" w:rsidRPr="00CF56B7" w:rsidTr="00E952A2">
        <w:trPr>
          <w:trHeight w:val="1142"/>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6. Build procedural fluency from conceptual understanding.</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builds fluency with procedures on a foundation of conceptual understanding so that students, over time, become skillful in using procedures flexibly as they solve contextual and mathematical problems.</w:t>
            </w:r>
          </w:p>
        </w:tc>
        <w:tc>
          <w:tcPr>
            <w:tcW w:w="1577" w:type="dxa"/>
          </w:tcPr>
          <w:p w:rsidR="00800D23" w:rsidRPr="00CF56B7" w:rsidRDefault="00800D23" w:rsidP="00E952A2">
            <w:pPr>
              <w:rPr>
                <w:rFonts w:asciiTheme="minorHAnsi" w:hAnsiTheme="minorHAnsi" w:cstheme="minorHAnsi"/>
                <w:b/>
                <w:color w:val="0033CC"/>
                <w:sz w:val="24"/>
                <w:szCs w:val="24"/>
              </w:rPr>
            </w:pPr>
          </w:p>
        </w:tc>
        <w:tc>
          <w:tcPr>
            <w:tcW w:w="1713" w:type="dxa"/>
          </w:tcPr>
          <w:p w:rsidR="00800D23" w:rsidRPr="00CF56B7" w:rsidRDefault="00800D23" w:rsidP="00E952A2">
            <w:pPr>
              <w:rPr>
                <w:rFonts w:asciiTheme="minorHAnsi" w:hAnsiTheme="minorHAnsi" w:cstheme="minorHAnsi"/>
                <w:b/>
                <w:color w:val="0033CC"/>
                <w:sz w:val="24"/>
                <w:szCs w:val="24"/>
              </w:rPr>
            </w:pPr>
          </w:p>
        </w:tc>
        <w:tc>
          <w:tcPr>
            <w:tcW w:w="1746" w:type="dxa"/>
          </w:tcPr>
          <w:p w:rsidR="00800D23" w:rsidRPr="00CF56B7" w:rsidRDefault="00800D23" w:rsidP="00E952A2">
            <w:pPr>
              <w:rPr>
                <w:rFonts w:asciiTheme="minorHAnsi" w:hAnsiTheme="minorHAnsi" w:cstheme="minorHAnsi"/>
                <w:b/>
                <w:color w:val="0033CC"/>
                <w:sz w:val="24"/>
                <w:szCs w:val="24"/>
              </w:rPr>
            </w:pPr>
          </w:p>
        </w:tc>
        <w:tc>
          <w:tcPr>
            <w:tcW w:w="1851" w:type="dxa"/>
          </w:tcPr>
          <w:p w:rsidR="00800D23" w:rsidRPr="00CF56B7" w:rsidRDefault="00800D23" w:rsidP="00E952A2">
            <w:pPr>
              <w:rPr>
                <w:rFonts w:asciiTheme="minorHAnsi" w:hAnsiTheme="minorHAnsi" w:cstheme="minorHAnsi"/>
                <w:b/>
                <w:color w:val="0033CC"/>
                <w:sz w:val="24"/>
                <w:szCs w:val="24"/>
              </w:rPr>
            </w:pPr>
          </w:p>
        </w:tc>
        <w:tc>
          <w:tcPr>
            <w:tcW w:w="1642" w:type="dxa"/>
          </w:tcPr>
          <w:p w:rsidR="00800D23" w:rsidRPr="00CF56B7" w:rsidRDefault="00800D23" w:rsidP="00E952A2">
            <w:pPr>
              <w:rPr>
                <w:rFonts w:asciiTheme="minorHAnsi" w:hAnsiTheme="minorHAnsi" w:cstheme="minorHAnsi"/>
                <w:color w:val="0033CC"/>
                <w:sz w:val="24"/>
                <w:szCs w:val="24"/>
              </w:rPr>
            </w:pPr>
          </w:p>
        </w:tc>
      </w:tr>
      <w:tr w:rsidR="00800D23" w:rsidRPr="00CF56B7" w:rsidTr="00E952A2">
        <w:trPr>
          <w:trHeight w:val="1088"/>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7. Support productive struggle in learning mathematics.</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consistently provides students, individually and collectively, with opportunities and supports to engage in productive struggle as they grapple with mathematical ideas and relationships.</w:t>
            </w:r>
          </w:p>
        </w:tc>
        <w:tc>
          <w:tcPr>
            <w:tcW w:w="1577" w:type="dxa"/>
          </w:tcPr>
          <w:p w:rsidR="00800D23" w:rsidRPr="00CF56B7" w:rsidRDefault="00800D23" w:rsidP="00E952A2">
            <w:pPr>
              <w:rPr>
                <w:rFonts w:asciiTheme="minorHAnsi" w:hAnsiTheme="minorHAnsi" w:cstheme="minorHAnsi"/>
                <w:b/>
                <w:color w:val="0033CC"/>
                <w:sz w:val="24"/>
                <w:szCs w:val="24"/>
              </w:rPr>
            </w:pPr>
          </w:p>
        </w:tc>
        <w:tc>
          <w:tcPr>
            <w:tcW w:w="1713" w:type="dxa"/>
          </w:tcPr>
          <w:p w:rsidR="00800D23" w:rsidRPr="00CF56B7" w:rsidRDefault="00800D23" w:rsidP="00E952A2">
            <w:pPr>
              <w:rPr>
                <w:rFonts w:asciiTheme="minorHAnsi" w:hAnsiTheme="minorHAnsi" w:cstheme="minorHAnsi"/>
                <w:b/>
                <w:color w:val="0033CC"/>
                <w:sz w:val="24"/>
                <w:szCs w:val="24"/>
              </w:rPr>
            </w:pPr>
          </w:p>
        </w:tc>
        <w:tc>
          <w:tcPr>
            <w:tcW w:w="1746" w:type="dxa"/>
          </w:tcPr>
          <w:p w:rsidR="00800D23" w:rsidRPr="00CF56B7" w:rsidRDefault="00800D23" w:rsidP="00E952A2">
            <w:pPr>
              <w:rPr>
                <w:rFonts w:asciiTheme="minorHAnsi" w:hAnsiTheme="minorHAnsi" w:cstheme="minorHAnsi"/>
                <w:b/>
                <w:color w:val="0033CC"/>
                <w:sz w:val="24"/>
                <w:szCs w:val="24"/>
              </w:rPr>
            </w:pPr>
          </w:p>
        </w:tc>
        <w:tc>
          <w:tcPr>
            <w:tcW w:w="1851" w:type="dxa"/>
          </w:tcPr>
          <w:p w:rsidR="00800D23" w:rsidRPr="00CF56B7" w:rsidRDefault="00800D23" w:rsidP="00E952A2">
            <w:pPr>
              <w:rPr>
                <w:rFonts w:asciiTheme="minorHAnsi" w:hAnsiTheme="minorHAnsi" w:cstheme="minorHAnsi"/>
                <w:b/>
                <w:color w:val="0033CC"/>
                <w:sz w:val="24"/>
                <w:szCs w:val="24"/>
              </w:rPr>
            </w:pPr>
          </w:p>
        </w:tc>
        <w:tc>
          <w:tcPr>
            <w:tcW w:w="1642" w:type="dxa"/>
          </w:tcPr>
          <w:p w:rsidR="00800D23" w:rsidRPr="00CF56B7" w:rsidRDefault="00800D23" w:rsidP="00E952A2">
            <w:pPr>
              <w:rPr>
                <w:rFonts w:asciiTheme="minorHAnsi" w:hAnsiTheme="minorHAnsi" w:cstheme="minorHAnsi"/>
                <w:color w:val="0033CC"/>
                <w:sz w:val="24"/>
                <w:szCs w:val="24"/>
              </w:rPr>
            </w:pPr>
          </w:p>
        </w:tc>
      </w:tr>
      <w:tr w:rsidR="00800D23" w:rsidRPr="00CF56B7" w:rsidTr="00E952A2">
        <w:trPr>
          <w:trHeight w:val="1277"/>
        </w:trPr>
        <w:tc>
          <w:tcPr>
            <w:tcW w:w="6158" w:type="dxa"/>
          </w:tcPr>
          <w:p w:rsidR="005D54B1" w:rsidRDefault="00800D23" w:rsidP="00E952A2">
            <w:pPr>
              <w:rPr>
                <w:rFonts w:asciiTheme="minorHAnsi" w:hAnsiTheme="minorHAnsi" w:cstheme="minorHAnsi"/>
                <w:sz w:val="20"/>
                <w:szCs w:val="20"/>
              </w:rPr>
            </w:pPr>
            <w:r w:rsidRPr="00E952A2">
              <w:rPr>
                <w:rFonts w:asciiTheme="minorHAnsi" w:hAnsiTheme="minorHAnsi" w:cstheme="minorHAnsi"/>
                <w:color w:val="0033CC"/>
                <w:sz w:val="20"/>
                <w:szCs w:val="20"/>
              </w:rPr>
              <w:t>8. Elicit and use evidence of student thinking.</w:t>
            </w:r>
            <w:r w:rsidRPr="00E952A2">
              <w:rPr>
                <w:rFonts w:asciiTheme="minorHAnsi" w:hAnsiTheme="minorHAnsi" w:cstheme="minorHAnsi"/>
                <w:sz w:val="20"/>
                <w:szCs w:val="20"/>
              </w:rPr>
              <w:t xml:space="preserve">  </w:t>
            </w:r>
          </w:p>
          <w:p w:rsidR="00800D23" w:rsidRPr="00E952A2" w:rsidRDefault="00800D23" w:rsidP="00E952A2">
            <w:pPr>
              <w:rPr>
                <w:rFonts w:asciiTheme="minorHAnsi" w:hAnsiTheme="minorHAnsi" w:cstheme="minorHAnsi"/>
                <w:sz w:val="20"/>
                <w:szCs w:val="20"/>
              </w:rPr>
            </w:pPr>
            <w:r w:rsidRPr="00E952A2">
              <w:rPr>
                <w:rFonts w:asciiTheme="minorHAnsi" w:hAnsiTheme="minorHAnsi" w:cstheme="minorHAnsi"/>
                <w:sz w:val="20"/>
                <w:szCs w:val="20"/>
              </w:rPr>
              <w:t>Effective teaching of mathematics uses evidence of student thinking to assess progress toward mathematical understanding and to adjust instruction continually in ways to support and extend learning.</w:t>
            </w:r>
          </w:p>
        </w:tc>
        <w:tc>
          <w:tcPr>
            <w:tcW w:w="1577" w:type="dxa"/>
          </w:tcPr>
          <w:p w:rsidR="00800D23" w:rsidRPr="00CF56B7" w:rsidRDefault="00800D23" w:rsidP="00E952A2">
            <w:pPr>
              <w:rPr>
                <w:rFonts w:asciiTheme="minorHAnsi" w:hAnsiTheme="minorHAnsi" w:cstheme="minorHAnsi"/>
                <w:b/>
                <w:noProof/>
                <w:sz w:val="32"/>
                <w:szCs w:val="32"/>
              </w:rPr>
            </w:pPr>
          </w:p>
        </w:tc>
        <w:tc>
          <w:tcPr>
            <w:tcW w:w="1713" w:type="dxa"/>
          </w:tcPr>
          <w:p w:rsidR="00800D23" w:rsidRPr="00CF56B7" w:rsidRDefault="00800D23" w:rsidP="00E952A2">
            <w:pPr>
              <w:rPr>
                <w:rFonts w:asciiTheme="minorHAnsi" w:hAnsiTheme="minorHAnsi" w:cstheme="minorHAnsi"/>
                <w:b/>
                <w:noProof/>
                <w:sz w:val="32"/>
                <w:szCs w:val="32"/>
              </w:rPr>
            </w:pPr>
          </w:p>
        </w:tc>
        <w:tc>
          <w:tcPr>
            <w:tcW w:w="1746" w:type="dxa"/>
          </w:tcPr>
          <w:p w:rsidR="00800D23" w:rsidRPr="00CF56B7" w:rsidRDefault="00800D23" w:rsidP="00E952A2">
            <w:pPr>
              <w:rPr>
                <w:rFonts w:asciiTheme="minorHAnsi" w:hAnsiTheme="minorHAnsi" w:cstheme="minorHAnsi"/>
                <w:b/>
                <w:noProof/>
                <w:sz w:val="32"/>
                <w:szCs w:val="32"/>
              </w:rPr>
            </w:pPr>
          </w:p>
        </w:tc>
        <w:tc>
          <w:tcPr>
            <w:tcW w:w="1851" w:type="dxa"/>
          </w:tcPr>
          <w:p w:rsidR="00800D23" w:rsidRPr="00CF56B7" w:rsidRDefault="00800D23" w:rsidP="00E952A2">
            <w:pPr>
              <w:rPr>
                <w:rFonts w:asciiTheme="minorHAnsi" w:hAnsiTheme="minorHAnsi" w:cstheme="minorHAnsi"/>
                <w:b/>
                <w:noProof/>
                <w:sz w:val="32"/>
                <w:szCs w:val="32"/>
              </w:rPr>
            </w:pPr>
          </w:p>
        </w:tc>
        <w:tc>
          <w:tcPr>
            <w:tcW w:w="1642" w:type="dxa"/>
          </w:tcPr>
          <w:p w:rsidR="00800D23" w:rsidRPr="00CF56B7" w:rsidRDefault="00800D23" w:rsidP="00E952A2">
            <w:pPr>
              <w:rPr>
                <w:rFonts w:asciiTheme="minorHAnsi" w:hAnsiTheme="minorHAnsi" w:cstheme="minorHAnsi"/>
                <w:noProof/>
                <w:sz w:val="32"/>
                <w:szCs w:val="32"/>
              </w:rPr>
            </w:pPr>
          </w:p>
        </w:tc>
      </w:tr>
    </w:tbl>
    <w:p w:rsidR="00CF56B7" w:rsidRPr="00CF56B7" w:rsidRDefault="00CF56B7">
      <w:pPr>
        <w:rPr>
          <w:rFonts w:asciiTheme="minorHAnsi" w:hAnsiTheme="minorHAnsi" w:cstheme="minorHAnsi"/>
        </w:rPr>
      </w:pPr>
    </w:p>
    <w:p w:rsidR="00CF56B7" w:rsidRPr="00CF56B7" w:rsidRDefault="00741359" w:rsidP="00741359">
      <w:pPr>
        <w:jc w:val="center"/>
        <w:rPr>
          <w:rFonts w:asciiTheme="minorHAnsi" w:hAnsiTheme="minorHAnsi" w:cstheme="minorHAnsi"/>
        </w:rPr>
      </w:pPr>
      <w:r>
        <w:rPr>
          <w:rFonts w:asciiTheme="minorHAnsi" w:hAnsiTheme="minorHAnsi" w:cstheme="minorHAnsi"/>
          <w:sz w:val="28"/>
        </w:rPr>
        <w:t>Activity: Comparing NCTM Mathematics Teaching Practice to Virginia Mathematics Process Goals for Students</w:t>
      </w:r>
    </w:p>
    <w:p w:rsidR="00CF56B7" w:rsidRPr="00424CE2" w:rsidRDefault="00CF56B7" w:rsidP="00CF56B7">
      <w:pPr>
        <w:keepNext/>
        <w:pBdr>
          <w:bottom w:val="single" w:sz="12" w:space="1" w:color="auto"/>
        </w:pBdr>
        <w:spacing w:before="160"/>
        <w:outlineLvl w:val="0"/>
        <w:rPr>
          <w:rFonts w:asciiTheme="minorHAnsi" w:hAnsiTheme="minorHAnsi" w:cs="Arial"/>
          <w:b w:val="0"/>
          <w:sz w:val="28"/>
          <w:szCs w:val="30"/>
        </w:rPr>
      </w:pPr>
      <w:r w:rsidRPr="00424CE2">
        <w:rPr>
          <w:rFonts w:asciiTheme="minorHAnsi" w:hAnsiTheme="minorHAnsi" w:cs="Arial"/>
          <w:sz w:val="28"/>
          <w:szCs w:val="30"/>
        </w:rPr>
        <w:t>Mathematical Process Goals for Students</w:t>
      </w:r>
    </w:p>
    <w:p w:rsidR="00CF56B7" w:rsidRPr="00BB2CC6" w:rsidRDefault="00CF56B7" w:rsidP="00CF56B7">
      <w:pPr>
        <w:spacing w:before="120"/>
        <w:jc w:val="both"/>
        <w:rPr>
          <w:rFonts w:asciiTheme="minorHAnsi" w:hAnsiTheme="minorHAnsi"/>
          <w:b w:val="0"/>
        </w:rPr>
      </w:pPr>
      <w:r w:rsidRPr="00BB2CC6">
        <w:rPr>
          <w:rFonts w:asciiTheme="minorHAnsi" w:hAnsiTheme="minorHAnsi"/>
          <w:b w:val="0"/>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Problem Solving</w:t>
      </w:r>
      <w:r>
        <w:rPr>
          <w:rFonts w:asciiTheme="minorHAnsi" w:hAnsiTheme="minorHAnsi"/>
          <w:sz w:val="24"/>
          <w:szCs w:val="24"/>
        </w:rPr>
        <w:t xml:space="preserve"> (PS)</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 types. A major goal of the mathematics program is to help students apply mathematics concepts and skills to become mathematical problem solvers.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Communication</w:t>
      </w:r>
      <w:r>
        <w:rPr>
          <w:rFonts w:asciiTheme="minorHAnsi" w:hAnsiTheme="minorHAnsi"/>
          <w:sz w:val="24"/>
          <w:szCs w:val="24"/>
        </w:rPr>
        <w:t xml:space="preserve"> (CM)</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to clarify their thinking and deepen their understanding of the mathematics being studied. Mathematical communication becomes visible where learning involves participation in mathematical discussions.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Reasoning</w:t>
      </w:r>
      <w:r>
        <w:rPr>
          <w:rFonts w:asciiTheme="minorHAnsi" w:hAnsiTheme="minorHAnsi"/>
          <w:sz w:val="24"/>
          <w:szCs w:val="24"/>
        </w:rPr>
        <w:t xml:space="preserve"> (RN)</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Connections</w:t>
      </w:r>
      <w:r>
        <w:rPr>
          <w:rFonts w:asciiTheme="minorHAnsi" w:hAnsiTheme="minorHAnsi"/>
          <w:sz w:val="24"/>
          <w:szCs w:val="24"/>
        </w:rPr>
        <w:t xml:space="preserve"> (CN)</w:t>
      </w:r>
    </w:p>
    <w:p w:rsidR="00CF56B7" w:rsidRPr="00BB2CC6" w:rsidRDefault="00CF56B7" w:rsidP="00CF56B7">
      <w:pPr>
        <w:spacing w:after="100"/>
        <w:jc w:val="both"/>
        <w:rPr>
          <w:rFonts w:asciiTheme="minorHAnsi" w:hAnsiTheme="minorHAnsi"/>
          <w:b w:val="0"/>
        </w:rPr>
      </w:pPr>
      <w:r w:rsidRPr="00BB2CC6">
        <w:rPr>
          <w:rFonts w:asciiTheme="minorHAnsi" w:hAnsiTheme="minorHAnsi"/>
          <w:b w:val="0"/>
        </w:rPr>
        <w:t xml:space="preserve">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 </w:t>
      </w:r>
    </w:p>
    <w:p w:rsidR="00CF56B7" w:rsidRPr="00424CE2" w:rsidRDefault="00CF56B7" w:rsidP="00CF56B7">
      <w:pPr>
        <w:keepNext/>
        <w:spacing w:before="160"/>
        <w:outlineLvl w:val="0"/>
        <w:rPr>
          <w:rFonts w:asciiTheme="minorHAnsi" w:hAnsiTheme="minorHAnsi"/>
          <w:b w:val="0"/>
          <w:sz w:val="24"/>
          <w:szCs w:val="24"/>
        </w:rPr>
      </w:pPr>
      <w:r w:rsidRPr="00424CE2">
        <w:rPr>
          <w:rFonts w:asciiTheme="minorHAnsi" w:hAnsiTheme="minorHAnsi"/>
          <w:sz w:val="24"/>
          <w:szCs w:val="24"/>
        </w:rPr>
        <w:t>Mathematical Representations</w:t>
      </w:r>
      <w:r>
        <w:rPr>
          <w:rFonts w:asciiTheme="minorHAnsi" w:hAnsiTheme="minorHAnsi"/>
          <w:sz w:val="24"/>
          <w:szCs w:val="24"/>
        </w:rPr>
        <w:t xml:space="preserve"> (RP)</w:t>
      </w:r>
    </w:p>
    <w:p w:rsidR="00CF56B7" w:rsidRPr="00424CE2" w:rsidRDefault="00CF56B7" w:rsidP="00CF56B7">
      <w:pPr>
        <w:spacing w:after="100"/>
        <w:jc w:val="both"/>
        <w:rPr>
          <w:rFonts w:asciiTheme="minorHAnsi" w:hAnsiTheme="minorHAnsi"/>
        </w:rPr>
      </w:pPr>
      <w:r w:rsidRPr="00BB2CC6">
        <w:rPr>
          <w:rFonts w:asciiTheme="minorHAnsi" w:hAnsiTheme="minorHAnsi"/>
          <w:b w:val="0"/>
        </w:rPr>
        <w:t xml:space="preserve">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w:t>
      </w:r>
      <w:bookmarkStart w:id="0" w:name="_GoBack"/>
      <w:bookmarkEnd w:id="0"/>
      <w:r w:rsidRPr="00BB2CC6">
        <w:rPr>
          <w:rFonts w:asciiTheme="minorHAnsi" w:hAnsiTheme="minorHAnsi"/>
          <w:b w:val="0"/>
        </w:rPr>
        <w:t>that representation is both a process and a product.</w:t>
      </w:r>
    </w:p>
    <w:p w:rsidR="0010086A" w:rsidRDefault="005D54B1">
      <w:r w:rsidRPr="00CF56B7">
        <w:rPr>
          <w:rFonts w:asciiTheme="minorHAnsi" w:hAnsiTheme="minorHAnsi" w:cstheme="minorHAnsi"/>
          <w:noProof/>
          <w:sz w:val="32"/>
          <w:szCs w:val="32"/>
        </w:rPr>
        <mc:AlternateContent>
          <mc:Choice Requires="wps">
            <w:drawing>
              <wp:anchor distT="0" distB="0" distL="114300" distR="114300" simplePos="0" relativeHeight="251661312" behindDoc="0" locked="0" layoutInCell="1" allowOverlap="1" wp14:anchorId="3907F8B9" wp14:editId="01DD9373">
                <wp:simplePos x="0" y="0"/>
                <wp:positionH relativeFrom="margin">
                  <wp:posOffset>-50165</wp:posOffset>
                </wp:positionH>
                <wp:positionV relativeFrom="paragraph">
                  <wp:posOffset>487045</wp:posOffset>
                </wp:positionV>
                <wp:extent cx="9122735" cy="244549"/>
                <wp:effectExtent l="0" t="0" r="0" b="3175"/>
                <wp:wrapNone/>
                <wp:docPr id="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2735" cy="244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70D" w:rsidRPr="00CF56B7" w:rsidRDefault="00A3470D" w:rsidP="00A3470D">
                            <w:pPr>
                              <w:pStyle w:val="NormalWeb"/>
                              <w:spacing w:before="0" w:beforeAutospacing="0" w:after="0" w:afterAutospacing="0"/>
                              <w:rPr>
                                <w:sz w:val="20"/>
                              </w:rPr>
                            </w:pPr>
                            <w:r w:rsidRPr="00CF56B7">
                              <w:rPr>
                                <w:rFonts w:asciiTheme="minorHAnsi" w:hAnsi="Calibri" w:cstheme="minorBidi"/>
                                <w:color w:val="000000" w:themeColor="text1"/>
                                <w:kern w:val="24"/>
                                <w:sz w:val="20"/>
                              </w:rPr>
                              <w:t xml:space="preserve">Adapted from Leinwand, S. et al. (2014) </w:t>
                            </w:r>
                            <w:r w:rsidRPr="00CF56B7">
                              <w:rPr>
                                <w:rFonts w:asciiTheme="minorHAnsi" w:hAnsi="Calibri" w:cstheme="minorBidi"/>
                                <w:i/>
                                <w:iCs/>
                                <w:color w:val="000000" w:themeColor="text1"/>
                                <w:kern w:val="24"/>
                                <w:sz w:val="20"/>
                              </w:rPr>
                              <w:t xml:space="preserve">Principles to Actions – Ensuring Mathematical Success for All, </w:t>
                            </w:r>
                            <w:r w:rsidRPr="00CF56B7">
                              <w:rPr>
                                <w:rFonts w:asciiTheme="minorHAnsi" w:hAnsi="Calibri" w:cstheme="minorBidi"/>
                                <w:color w:val="000000" w:themeColor="text1"/>
                                <w:kern w:val="24"/>
                                <w:sz w:val="20"/>
                              </w:rPr>
                              <w:t xml:space="preserve">National Council of Teachers of Mathematics.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907F8B9" id="_x0000_t202" coordsize="21600,21600" o:spt="202" path="m,l,21600r21600,l21600,xe">
                <v:stroke joinstyle="miter"/>
                <v:path gradientshapeok="t" o:connecttype="rect"/>
              </v:shapetype>
              <v:shape id="TextBox 7" o:spid="_x0000_s1026" type="#_x0000_t202" style="position:absolute;margin-left:-3.95pt;margin-top:38.35pt;width:718.35pt;height:1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" filled="f" stroked="f">
                <v:textbox>
                  <w:txbxContent>
                    <w:p w:rsidR="00A3470D" w:rsidRPr="00CF56B7" w:rsidRDefault="00A3470D" w:rsidP="00A3470D">
                      <w:pPr>
                        <w:pStyle w:val="NormalWeb"/>
                        <w:spacing w:before="0" w:beforeAutospacing="0" w:after="0" w:afterAutospacing="0"/>
                        <w:rPr>
                          <w:sz w:val="20"/>
                        </w:rPr>
                      </w:pPr>
                      <w:r w:rsidRPr="00CF56B7">
                        <w:rPr>
                          <w:rFonts w:asciiTheme="minorHAnsi" w:hAnsi="Calibri" w:cstheme="minorBidi"/>
                          <w:color w:val="000000" w:themeColor="text1"/>
                          <w:kern w:val="24"/>
                          <w:sz w:val="20"/>
                        </w:rPr>
                        <w:t xml:space="preserve">Adapted from Leinwand, S. et al. (2014) </w:t>
                      </w:r>
                      <w:r w:rsidRPr="00CF56B7">
                        <w:rPr>
                          <w:rFonts w:asciiTheme="minorHAnsi" w:hAnsi="Calibri" w:cstheme="minorBidi"/>
                          <w:i/>
                          <w:iCs/>
                          <w:color w:val="000000" w:themeColor="text1"/>
                          <w:kern w:val="24"/>
                          <w:sz w:val="20"/>
                        </w:rPr>
                        <w:t xml:space="preserve">Principles to Actions – Ensuring Mathematical Success for All, </w:t>
                      </w:r>
                      <w:r w:rsidRPr="00CF56B7">
                        <w:rPr>
                          <w:rFonts w:asciiTheme="minorHAnsi" w:hAnsi="Calibri" w:cstheme="minorBidi"/>
                          <w:color w:val="000000" w:themeColor="text1"/>
                          <w:kern w:val="24"/>
                          <w:sz w:val="20"/>
                        </w:rPr>
                        <w:t xml:space="preserve">National Council of Teachers of Mathematics. </w:t>
                      </w:r>
                    </w:p>
                  </w:txbxContent>
                </v:textbox>
                <w10:wrap anchorx="margin"/>
              </v:shape>
            </w:pict>
          </mc:Fallback>
        </mc:AlternateContent>
      </w:r>
      <w:r w:rsidR="00CF56B7">
        <w:rPr>
          <w:noProof/>
        </w:rPr>
        <mc:AlternateContent>
          <mc:Choice Requires="wps">
            <w:drawing>
              <wp:anchor distT="0" distB="0" distL="114300" distR="114300" simplePos="0" relativeHeight="251662336" behindDoc="0" locked="0" layoutInCell="1" allowOverlap="1">
                <wp:simplePos x="0" y="0"/>
                <wp:positionH relativeFrom="column">
                  <wp:posOffset>-51849</wp:posOffset>
                </wp:positionH>
                <wp:positionV relativeFrom="paragraph">
                  <wp:posOffset>118110</wp:posOffset>
                </wp:positionV>
                <wp:extent cx="5701085" cy="318052"/>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701085" cy="318052"/>
                        </a:xfrm>
                        <a:prstGeom prst="rect">
                          <a:avLst/>
                        </a:prstGeom>
                        <a:noFill/>
                        <a:ln w="6350">
                          <a:noFill/>
                        </a:ln>
                      </wps:spPr>
                      <wps:txbx>
                        <w:txbxContent>
                          <w:p w:rsidR="00CF56B7" w:rsidRPr="0067503F" w:rsidRDefault="00CF56B7" w:rsidP="00CF56B7">
                            <w:pPr>
                              <w:pStyle w:val="Header"/>
                              <w:rPr>
                                <w:rFonts w:asciiTheme="minorHAnsi" w:hAnsiTheme="minorHAnsi" w:cs="Arial"/>
                                <w:sz w:val="22"/>
                                <w:szCs w:val="22"/>
                              </w:rPr>
                            </w:pPr>
                            <w:r w:rsidRPr="0067503F">
                              <w:rPr>
                                <w:rFonts w:asciiTheme="minorHAnsi" w:hAnsiTheme="minorHAnsi" w:cs="Arial"/>
                                <w:sz w:val="22"/>
                                <w:szCs w:val="22"/>
                              </w:rPr>
                              <w:t xml:space="preserve">Mathematics Standards of Learning for Virginia Public Schools – September 2016 </w:t>
                            </w:r>
                          </w:p>
                          <w:p w:rsidR="00CF56B7" w:rsidRDefault="00CF56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4.1pt;margin-top:9.3pt;width:448.9pt;height:25.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" filled="f" stroked="f" strokeweight=".5pt">
                <v:textbox>
                  <w:txbxContent>
                    <w:p w:rsidR="00CF56B7" w:rsidRPr="0067503F" w:rsidRDefault="00CF56B7" w:rsidP="00CF56B7">
                      <w:pPr>
                        <w:pStyle w:val="Header"/>
                        <w:rPr>
                          <w:rFonts w:asciiTheme="minorHAnsi" w:hAnsiTheme="minorHAnsi" w:cs="Arial"/>
                          <w:sz w:val="22"/>
                          <w:szCs w:val="22"/>
                        </w:rPr>
                      </w:pPr>
                      <w:r w:rsidRPr="0067503F">
                        <w:rPr>
                          <w:rFonts w:asciiTheme="minorHAnsi" w:hAnsiTheme="minorHAnsi" w:cs="Arial"/>
                          <w:sz w:val="22"/>
                          <w:szCs w:val="22"/>
                        </w:rPr>
                        <w:t xml:space="preserve">Mathematics Standards of Learning for Virginia Public Schools – September 2016 </w:t>
                      </w:r>
                    </w:p>
                    <w:p w:rsidR="00CF56B7" w:rsidRDefault="00CF56B7"/>
                  </w:txbxContent>
                </v:textbox>
              </v:shape>
            </w:pict>
          </mc:Fallback>
        </mc:AlternateContent>
      </w:r>
    </w:p>
    <w:sectPr w:rsidR="0010086A" w:rsidSect="00A3470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0D"/>
    <w:rsid w:val="0023422F"/>
    <w:rsid w:val="005D54B1"/>
    <w:rsid w:val="00741359"/>
    <w:rsid w:val="00800D23"/>
    <w:rsid w:val="00804EAB"/>
    <w:rsid w:val="00904F0E"/>
    <w:rsid w:val="00A3470D"/>
    <w:rsid w:val="00BB2CC6"/>
    <w:rsid w:val="00CF56B7"/>
    <w:rsid w:val="00D3435E"/>
    <w:rsid w:val="00E952A2"/>
    <w:rsid w:val="00F7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C6F3"/>
  <w15:chartTrackingRefBased/>
  <w15:docId w15:val="{AEB355B1-D717-42F4-8B7B-FD56EE01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0D"/>
    <w:pPr>
      <w:spacing w:after="0" w:line="240" w:lineRule="auto"/>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70D"/>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470D"/>
    <w:pPr>
      <w:spacing w:before="100" w:beforeAutospacing="1" w:after="100" w:afterAutospacing="1"/>
    </w:pPr>
    <w:rPr>
      <w:rFonts w:eastAsiaTheme="minorEastAsia"/>
      <w:b w:val="0"/>
      <w:sz w:val="24"/>
      <w:szCs w:val="24"/>
    </w:rPr>
  </w:style>
  <w:style w:type="paragraph" w:styleId="Header">
    <w:name w:val="header"/>
    <w:basedOn w:val="Normal"/>
    <w:link w:val="HeaderChar"/>
    <w:rsid w:val="00CF56B7"/>
    <w:rPr>
      <w:rFonts w:ascii="CG Omega" w:eastAsia="Times" w:hAnsi="CG Omega"/>
      <w:b w:val="0"/>
      <w:i/>
      <w:sz w:val="18"/>
      <w:szCs w:val="20"/>
    </w:rPr>
  </w:style>
  <w:style w:type="character" w:customStyle="1" w:styleId="HeaderChar">
    <w:name w:val="Header Char"/>
    <w:basedOn w:val="DefaultParagraphFont"/>
    <w:link w:val="Header"/>
    <w:rsid w:val="00CF56B7"/>
    <w:rPr>
      <w:rFonts w:ascii="CG Omega" w:eastAsia="Times" w:hAnsi="CG Omega" w:cs="Times New Roman"/>
      <w:i/>
      <w:sz w:val="18"/>
      <w:szCs w:val="20"/>
    </w:rPr>
  </w:style>
  <w:style w:type="paragraph" w:styleId="BalloonText">
    <w:name w:val="Balloon Text"/>
    <w:basedOn w:val="Normal"/>
    <w:link w:val="BalloonTextChar"/>
    <w:uiPriority w:val="99"/>
    <w:semiHidden/>
    <w:unhideWhenUsed/>
    <w:rsid w:val="005D5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4B1"/>
    <w:rPr>
      <w:rFonts w:ascii="Segoe UI" w:hAnsi="Segoe UI" w:cs="Segoe UI"/>
      <w:b/>
      <w:sz w:val="18"/>
      <w:szCs w:val="18"/>
    </w:rPr>
  </w:style>
  <w:style w:type="paragraph" w:styleId="ListParagraph">
    <w:name w:val="List Paragraph"/>
    <w:basedOn w:val="Normal"/>
    <w:uiPriority w:val="34"/>
    <w:qFormat/>
    <w:rsid w:val="005D5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3EC1-BAF0-459E-B671-AD65196B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Mazzacane, Tina (DOE)</dc:creator>
  <cp:keywords/>
  <dc:description/>
  <cp:lastModifiedBy>Delozier, Debra (DOE)</cp:lastModifiedBy>
  <cp:revision>4</cp:revision>
  <cp:lastPrinted>2018-08-21T13:43:00Z</cp:lastPrinted>
  <dcterms:created xsi:type="dcterms:W3CDTF">2018-08-17T16:55:00Z</dcterms:created>
  <dcterms:modified xsi:type="dcterms:W3CDTF">2018-08-21T13:51:00Z</dcterms:modified>
</cp:coreProperties>
</file>