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21"/>
        <w:tblW w:w="14687" w:type="dxa"/>
        <w:tblLayout w:type="fixed"/>
        <w:tblLook w:val="04A0" w:firstRow="1" w:lastRow="0" w:firstColumn="1" w:lastColumn="0" w:noHBand="0" w:noVBand="1"/>
        <w:tblCaption w:val="Math practices and Virginia process goals comparison chart"/>
      </w:tblPr>
      <w:tblGrid>
        <w:gridCol w:w="6158"/>
        <w:gridCol w:w="1577"/>
        <w:gridCol w:w="1713"/>
        <w:gridCol w:w="1746"/>
        <w:gridCol w:w="1851"/>
        <w:gridCol w:w="1642"/>
      </w:tblGrid>
      <w:tr w:rsidR="00E952A2" w:rsidRPr="00CF56B7" w:rsidTr="00E5563D">
        <w:trPr>
          <w:trHeight w:val="428"/>
          <w:tblHeader/>
        </w:trPr>
        <w:tc>
          <w:tcPr>
            <w:tcW w:w="6158" w:type="dxa"/>
            <w:shd w:val="clear" w:color="auto" w:fill="auto"/>
            <w:vAlign w:val="center"/>
          </w:tcPr>
          <w:p w:rsidR="00E5563D" w:rsidRDefault="00E5563D" w:rsidP="00E5563D">
            <w:pPr>
              <w:jc w:val="center"/>
              <w:rPr>
                <w:rFonts w:asciiTheme="minorHAnsi" w:hAnsiTheme="minorHAnsi" w:cstheme="minorHAnsi"/>
                <w:b/>
                <w:sz w:val="28"/>
                <w:szCs w:val="28"/>
              </w:rPr>
            </w:pPr>
            <w:r w:rsidRPr="00BB2CC6">
              <w:rPr>
                <w:rFonts w:asciiTheme="minorHAnsi" w:hAnsiTheme="minorHAnsi" w:cstheme="minorHAnsi"/>
                <w:b/>
                <w:i/>
                <w:sz w:val="28"/>
                <w:szCs w:val="28"/>
              </w:rPr>
              <w:t>Principles to Action</w:t>
            </w:r>
            <w:r w:rsidRPr="00BB2CC6">
              <w:rPr>
                <w:rFonts w:asciiTheme="minorHAnsi" w:hAnsiTheme="minorHAnsi" w:cstheme="minorHAnsi"/>
                <w:b/>
                <w:sz w:val="28"/>
                <w:szCs w:val="28"/>
              </w:rPr>
              <w:t xml:space="preserve"> –</w:t>
            </w:r>
          </w:p>
          <w:p w:rsidR="00F71646" w:rsidRPr="00BB2CC6" w:rsidRDefault="00E5563D" w:rsidP="00E5563D">
            <w:pPr>
              <w:jc w:val="center"/>
              <w:rPr>
                <w:rFonts w:asciiTheme="minorHAnsi" w:hAnsiTheme="minorHAnsi" w:cstheme="minorHAnsi"/>
                <w:b/>
                <w:i/>
                <w:sz w:val="28"/>
                <w:szCs w:val="28"/>
              </w:rPr>
            </w:pPr>
            <w:r w:rsidRPr="00BB2CC6">
              <w:rPr>
                <w:rFonts w:asciiTheme="minorHAnsi" w:hAnsiTheme="minorHAnsi" w:cstheme="minorHAnsi"/>
                <w:b/>
                <w:sz w:val="28"/>
                <w:szCs w:val="28"/>
              </w:rPr>
              <w:t>Mathematics Teaching Practices</w:t>
            </w:r>
          </w:p>
        </w:tc>
        <w:tc>
          <w:tcPr>
            <w:tcW w:w="1577" w:type="dxa"/>
            <w:shd w:val="clear" w:color="auto" w:fill="F8C2EE"/>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Problem Solving</w:t>
            </w:r>
          </w:p>
        </w:tc>
        <w:tc>
          <w:tcPr>
            <w:tcW w:w="1713" w:type="dxa"/>
            <w:shd w:val="clear" w:color="auto" w:fill="BFA7E3"/>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Connections</w:t>
            </w:r>
          </w:p>
        </w:tc>
        <w:tc>
          <w:tcPr>
            <w:tcW w:w="1746" w:type="dxa"/>
            <w:shd w:val="clear" w:color="auto" w:fill="FFC000"/>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Communications</w:t>
            </w:r>
          </w:p>
        </w:tc>
        <w:tc>
          <w:tcPr>
            <w:tcW w:w="1851" w:type="dxa"/>
            <w:shd w:val="clear" w:color="auto" w:fill="00B0F0"/>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Representations</w:t>
            </w:r>
          </w:p>
        </w:tc>
        <w:tc>
          <w:tcPr>
            <w:tcW w:w="1642" w:type="dxa"/>
            <w:shd w:val="clear" w:color="auto" w:fill="BDD6EE" w:themeFill="accent1" w:themeFillTint="66"/>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Reasoning</w:t>
            </w:r>
          </w:p>
        </w:tc>
      </w:tr>
      <w:tr w:rsidR="00E952A2" w:rsidRPr="00CF56B7" w:rsidTr="00E952A2">
        <w:trPr>
          <w:trHeight w:val="1061"/>
        </w:trPr>
        <w:tc>
          <w:tcPr>
            <w:tcW w:w="6158" w:type="dxa"/>
          </w:tcPr>
          <w:p w:rsidR="005D54B1" w:rsidRDefault="00F71646" w:rsidP="00E952A2">
            <w:pPr>
              <w:rPr>
                <w:rFonts w:asciiTheme="minorHAnsi" w:hAnsiTheme="minorHAnsi" w:cstheme="minorHAnsi"/>
                <w:sz w:val="20"/>
                <w:szCs w:val="20"/>
              </w:rPr>
            </w:pPr>
            <w:r w:rsidRPr="00E952A2">
              <w:rPr>
                <w:rFonts w:asciiTheme="minorHAnsi" w:hAnsiTheme="minorHAnsi" w:cstheme="minorHAnsi"/>
                <w:color w:val="0033CC"/>
                <w:sz w:val="20"/>
                <w:szCs w:val="20"/>
              </w:rPr>
              <w:t>1. Establish mathematics goals to focus learning.</w:t>
            </w:r>
            <w:r w:rsidRPr="00E952A2">
              <w:rPr>
                <w:rFonts w:asciiTheme="minorHAnsi" w:hAnsiTheme="minorHAnsi" w:cstheme="minorHAnsi"/>
                <w:sz w:val="20"/>
                <w:szCs w:val="20"/>
              </w:rPr>
              <w:t xml:space="preserve">  </w:t>
            </w:r>
          </w:p>
          <w:p w:rsidR="00F71646" w:rsidRPr="00E952A2" w:rsidRDefault="00F71646"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establishes clear goals for the mathematics that students are learning, situates goals within learning progressions, and uses the goals to guide instructional decisions.</w:t>
            </w:r>
          </w:p>
        </w:tc>
        <w:tc>
          <w:tcPr>
            <w:tcW w:w="1577" w:type="dxa"/>
          </w:tcPr>
          <w:p w:rsidR="00F71646" w:rsidRPr="00CF56B7" w:rsidRDefault="00F71646" w:rsidP="00E952A2">
            <w:pPr>
              <w:rPr>
                <w:rFonts w:asciiTheme="minorHAnsi" w:hAnsiTheme="minorHAnsi" w:cstheme="minorHAnsi"/>
                <w:b/>
                <w:color w:val="0033CC"/>
                <w:sz w:val="24"/>
                <w:szCs w:val="24"/>
              </w:rPr>
            </w:pPr>
          </w:p>
        </w:tc>
        <w:tc>
          <w:tcPr>
            <w:tcW w:w="1713" w:type="dxa"/>
          </w:tcPr>
          <w:p w:rsidR="00F71646" w:rsidRPr="00CF56B7" w:rsidRDefault="00F71646" w:rsidP="00E952A2">
            <w:pPr>
              <w:rPr>
                <w:rFonts w:asciiTheme="minorHAnsi" w:hAnsiTheme="minorHAnsi" w:cstheme="minorHAnsi"/>
                <w:b/>
                <w:color w:val="0033CC"/>
                <w:sz w:val="24"/>
                <w:szCs w:val="24"/>
              </w:rPr>
            </w:pPr>
          </w:p>
        </w:tc>
        <w:tc>
          <w:tcPr>
            <w:tcW w:w="1746" w:type="dxa"/>
          </w:tcPr>
          <w:p w:rsidR="00F71646" w:rsidRPr="00CF56B7" w:rsidRDefault="00F71646" w:rsidP="00E952A2">
            <w:pPr>
              <w:rPr>
                <w:rFonts w:asciiTheme="minorHAnsi" w:hAnsiTheme="minorHAnsi" w:cstheme="minorHAnsi"/>
                <w:b/>
                <w:color w:val="0033CC"/>
                <w:sz w:val="24"/>
                <w:szCs w:val="24"/>
              </w:rPr>
            </w:pPr>
          </w:p>
        </w:tc>
        <w:tc>
          <w:tcPr>
            <w:tcW w:w="1851" w:type="dxa"/>
          </w:tcPr>
          <w:p w:rsidR="00F71646" w:rsidRPr="00CF56B7" w:rsidRDefault="00F71646" w:rsidP="00E952A2">
            <w:pPr>
              <w:rPr>
                <w:rFonts w:asciiTheme="minorHAnsi" w:hAnsiTheme="minorHAnsi" w:cstheme="minorHAnsi"/>
                <w:b/>
                <w:color w:val="0033CC"/>
                <w:sz w:val="24"/>
                <w:szCs w:val="24"/>
              </w:rPr>
            </w:pPr>
          </w:p>
        </w:tc>
        <w:tc>
          <w:tcPr>
            <w:tcW w:w="1642" w:type="dxa"/>
          </w:tcPr>
          <w:p w:rsidR="00F71646" w:rsidRPr="00CF56B7" w:rsidRDefault="00F71646" w:rsidP="00E952A2">
            <w:pPr>
              <w:rPr>
                <w:rFonts w:asciiTheme="minorHAnsi" w:hAnsiTheme="minorHAnsi" w:cstheme="minorHAnsi"/>
                <w:color w:val="0033CC"/>
                <w:sz w:val="24"/>
                <w:szCs w:val="24"/>
              </w:rPr>
            </w:pPr>
          </w:p>
        </w:tc>
      </w:tr>
      <w:tr w:rsidR="00E952A2" w:rsidRPr="00CF56B7" w:rsidTr="005D54B1">
        <w:trPr>
          <w:trHeight w:val="1115"/>
        </w:trPr>
        <w:tc>
          <w:tcPr>
            <w:tcW w:w="6158" w:type="dxa"/>
          </w:tcPr>
          <w:p w:rsidR="00F71646" w:rsidRPr="00E952A2" w:rsidRDefault="00F71646" w:rsidP="00E952A2">
            <w:pPr>
              <w:rPr>
                <w:rFonts w:asciiTheme="minorHAnsi" w:hAnsiTheme="minorHAnsi" w:cstheme="minorHAnsi"/>
                <w:sz w:val="20"/>
                <w:szCs w:val="20"/>
              </w:rPr>
            </w:pPr>
            <w:r w:rsidRPr="00E952A2">
              <w:rPr>
                <w:rFonts w:asciiTheme="minorHAnsi" w:hAnsiTheme="minorHAnsi" w:cstheme="minorHAnsi"/>
                <w:color w:val="0033CC"/>
                <w:sz w:val="20"/>
                <w:szCs w:val="20"/>
              </w:rPr>
              <w:t>2. Implement tasks that promote reasoning and problem solving.</w:t>
            </w:r>
            <w:r w:rsidRPr="00E952A2">
              <w:rPr>
                <w:rFonts w:asciiTheme="minorHAnsi" w:hAnsiTheme="minorHAnsi" w:cstheme="minorHAnsi"/>
                <w:sz w:val="20"/>
                <w:szCs w:val="20"/>
              </w:rPr>
              <w:t xml:space="preserve"> Effective teaching of mathematics engages students in solving and discussing tasks that promote mathematical reasoning and problem solving and allow multiple entry points and varied solution strategies.</w:t>
            </w:r>
          </w:p>
        </w:tc>
        <w:tc>
          <w:tcPr>
            <w:tcW w:w="1577" w:type="dxa"/>
          </w:tcPr>
          <w:p w:rsidR="00F71646" w:rsidRPr="00CF56B7" w:rsidRDefault="00F71646" w:rsidP="00E952A2">
            <w:pPr>
              <w:rPr>
                <w:rFonts w:asciiTheme="minorHAnsi" w:hAnsiTheme="minorHAnsi" w:cstheme="minorHAnsi"/>
                <w:b/>
                <w:color w:val="0033CC"/>
                <w:sz w:val="24"/>
                <w:szCs w:val="24"/>
              </w:rPr>
            </w:pPr>
          </w:p>
        </w:tc>
        <w:tc>
          <w:tcPr>
            <w:tcW w:w="1713" w:type="dxa"/>
          </w:tcPr>
          <w:p w:rsidR="00F71646" w:rsidRPr="00CF56B7" w:rsidRDefault="00F71646" w:rsidP="00E952A2">
            <w:pPr>
              <w:rPr>
                <w:rFonts w:asciiTheme="minorHAnsi" w:hAnsiTheme="minorHAnsi" w:cstheme="minorHAnsi"/>
                <w:b/>
                <w:color w:val="0033CC"/>
                <w:sz w:val="24"/>
                <w:szCs w:val="24"/>
              </w:rPr>
            </w:pPr>
          </w:p>
        </w:tc>
        <w:tc>
          <w:tcPr>
            <w:tcW w:w="1746" w:type="dxa"/>
          </w:tcPr>
          <w:p w:rsidR="00F71646" w:rsidRPr="00CF56B7" w:rsidRDefault="00F71646" w:rsidP="00E952A2">
            <w:pPr>
              <w:rPr>
                <w:rFonts w:asciiTheme="minorHAnsi" w:hAnsiTheme="minorHAnsi" w:cstheme="minorHAnsi"/>
                <w:b/>
                <w:color w:val="0033CC"/>
                <w:sz w:val="24"/>
                <w:szCs w:val="24"/>
              </w:rPr>
            </w:pPr>
          </w:p>
        </w:tc>
        <w:tc>
          <w:tcPr>
            <w:tcW w:w="1851" w:type="dxa"/>
          </w:tcPr>
          <w:p w:rsidR="00F71646" w:rsidRPr="00CF56B7" w:rsidRDefault="00F71646" w:rsidP="00E952A2">
            <w:pPr>
              <w:rPr>
                <w:rFonts w:asciiTheme="minorHAnsi" w:hAnsiTheme="minorHAnsi" w:cstheme="minorHAnsi"/>
                <w:b/>
                <w:color w:val="0033CC"/>
                <w:sz w:val="24"/>
                <w:szCs w:val="24"/>
              </w:rPr>
            </w:pPr>
          </w:p>
        </w:tc>
        <w:tc>
          <w:tcPr>
            <w:tcW w:w="1642" w:type="dxa"/>
          </w:tcPr>
          <w:p w:rsidR="00F71646" w:rsidRPr="00CF56B7" w:rsidRDefault="00F71646" w:rsidP="00E952A2">
            <w:pPr>
              <w:rPr>
                <w:rFonts w:asciiTheme="minorHAnsi" w:hAnsiTheme="minorHAnsi" w:cstheme="minorHAnsi"/>
                <w:color w:val="0033CC"/>
                <w:sz w:val="24"/>
                <w:szCs w:val="24"/>
              </w:rPr>
            </w:pPr>
          </w:p>
        </w:tc>
      </w:tr>
      <w:tr w:rsidR="00800D23" w:rsidRPr="00CF56B7" w:rsidTr="00E952A2">
        <w:trPr>
          <w:trHeight w:val="1358"/>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3. Use and connect mathematical representations.</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engages students in making connections among mathematical representations to deepen understanding of mathematics concepts and procedures and as tools for problem solving.</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232"/>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4. Facilitate meaningful mathematical discourse.</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facilitates discourse among students to build shared understanding of mathematical ideas by analyzing and comparing student approaches and arguments.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178"/>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5. Pose purposeful questions.</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uses purposeful questions to assess and advance students’ reasoning and sense making about important mathematical ideas and relationships.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142"/>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6. Build procedural fluency from conceptual understanding.</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builds fluency with procedures on a foundation of conceptual understanding so that students, over time, become skillful in using procedures flexibly as they solve contextual and mathematical problems.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088"/>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7. Support productive struggle in learning mathematics.</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consistently provides students, individually and collectively, with opportunities and supports to engage in productive struggle as they grapple with mathematical ideas and relationships.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277"/>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8. Elicit and use evidence of student thinking.</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uses evidence of student thinking to assess progress toward mathematical understanding and to adjust instruction continually in ways to support and extend learning.</w:t>
            </w:r>
          </w:p>
        </w:tc>
        <w:tc>
          <w:tcPr>
            <w:tcW w:w="1577" w:type="dxa"/>
          </w:tcPr>
          <w:p w:rsidR="00800D23" w:rsidRPr="00CF56B7" w:rsidRDefault="00800D23" w:rsidP="00E952A2">
            <w:pPr>
              <w:rPr>
                <w:rFonts w:asciiTheme="minorHAnsi" w:hAnsiTheme="minorHAnsi" w:cstheme="minorHAnsi"/>
                <w:b/>
                <w:noProof/>
                <w:sz w:val="32"/>
                <w:szCs w:val="32"/>
              </w:rPr>
            </w:pPr>
          </w:p>
        </w:tc>
        <w:tc>
          <w:tcPr>
            <w:tcW w:w="1713" w:type="dxa"/>
          </w:tcPr>
          <w:p w:rsidR="00800D23" w:rsidRPr="00CF56B7" w:rsidRDefault="00800D23" w:rsidP="00E952A2">
            <w:pPr>
              <w:rPr>
                <w:rFonts w:asciiTheme="minorHAnsi" w:hAnsiTheme="minorHAnsi" w:cstheme="minorHAnsi"/>
                <w:b/>
                <w:noProof/>
                <w:sz w:val="32"/>
                <w:szCs w:val="32"/>
              </w:rPr>
            </w:pPr>
          </w:p>
        </w:tc>
        <w:tc>
          <w:tcPr>
            <w:tcW w:w="1746" w:type="dxa"/>
          </w:tcPr>
          <w:p w:rsidR="00800D23" w:rsidRPr="00CF56B7" w:rsidRDefault="00800D23" w:rsidP="00E952A2">
            <w:pPr>
              <w:rPr>
                <w:rFonts w:asciiTheme="minorHAnsi" w:hAnsiTheme="minorHAnsi" w:cstheme="minorHAnsi"/>
                <w:b/>
                <w:noProof/>
                <w:sz w:val="32"/>
                <w:szCs w:val="32"/>
              </w:rPr>
            </w:pPr>
          </w:p>
        </w:tc>
        <w:tc>
          <w:tcPr>
            <w:tcW w:w="1851" w:type="dxa"/>
          </w:tcPr>
          <w:p w:rsidR="00800D23" w:rsidRPr="00CF56B7" w:rsidRDefault="00800D23" w:rsidP="00E952A2">
            <w:pPr>
              <w:rPr>
                <w:rFonts w:asciiTheme="minorHAnsi" w:hAnsiTheme="minorHAnsi" w:cstheme="minorHAnsi"/>
                <w:b/>
                <w:noProof/>
                <w:sz w:val="32"/>
                <w:szCs w:val="32"/>
              </w:rPr>
            </w:pPr>
          </w:p>
        </w:tc>
        <w:tc>
          <w:tcPr>
            <w:tcW w:w="1642" w:type="dxa"/>
          </w:tcPr>
          <w:p w:rsidR="00800D23" w:rsidRPr="00CF56B7" w:rsidRDefault="00800D23" w:rsidP="00E952A2">
            <w:pPr>
              <w:rPr>
                <w:rFonts w:asciiTheme="minorHAnsi" w:hAnsiTheme="minorHAnsi" w:cstheme="minorHAnsi"/>
                <w:noProof/>
                <w:sz w:val="32"/>
                <w:szCs w:val="32"/>
              </w:rPr>
            </w:pPr>
          </w:p>
        </w:tc>
      </w:tr>
    </w:tbl>
    <w:p w:rsidR="00E5563D" w:rsidRPr="00CF56B7" w:rsidRDefault="00E5563D" w:rsidP="00E5563D">
      <w:pPr>
        <w:pStyle w:val="NormalWeb"/>
        <w:spacing w:before="60" w:beforeAutospacing="0" w:after="0" w:afterAutospacing="0"/>
        <w:rPr>
          <w:sz w:val="20"/>
        </w:rPr>
      </w:pPr>
      <w:r w:rsidRPr="00CF56B7">
        <w:rPr>
          <w:rFonts w:asciiTheme="minorHAnsi" w:hAnsi="Calibri" w:cstheme="minorBidi"/>
          <w:color w:val="000000" w:themeColor="text1"/>
          <w:kern w:val="24"/>
          <w:sz w:val="20"/>
        </w:rPr>
        <w:t xml:space="preserve">Adapted from Leinwand, S. et al. (2014) </w:t>
      </w:r>
      <w:r w:rsidRPr="00CF56B7">
        <w:rPr>
          <w:rFonts w:asciiTheme="minorHAnsi" w:hAnsi="Calibri" w:cstheme="minorBidi"/>
          <w:i/>
          <w:iCs/>
          <w:color w:val="000000" w:themeColor="text1"/>
          <w:kern w:val="24"/>
          <w:sz w:val="20"/>
        </w:rPr>
        <w:t xml:space="preserve">Principles to Actions – Ensuring Mathematical Success for All, </w:t>
      </w:r>
      <w:r w:rsidRPr="00CF56B7">
        <w:rPr>
          <w:rFonts w:asciiTheme="minorHAnsi" w:hAnsi="Calibri" w:cstheme="minorBidi"/>
          <w:color w:val="000000" w:themeColor="text1"/>
          <w:kern w:val="24"/>
          <w:sz w:val="20"/>
        </w:rPr>
        <w:t xml:space="preserve">National Council of Teachers of Mathematics. </w:t>
      </w:r>
    </w:p>
    <w:p w:rsidR="00CF56B7" w:rsidRPr="00CF56B7" w:rsidRDefault="00CF56B7">
      <w:pPr>
        <w:rPr>
          <w:rFonts w:asciiTheme="minorHAnsi" w:hAnsiTheme="minorHAnsi" w:cstheme="minorHAnsi"/>
        </w:rPr>
      </w:pPr>
    </w:p>
    <w:p w:rsidR="00CF56B7" w:rsidRPr="00CF56B7" w:rsidRDefault="00741359" w:rsidP="00741359">
      <w:pPr>
        <w:jc w:val="center"/>
        <w:rPr>
          <w:rFonts w:asciiTheme="minorHAnsi" w:hAnsiTheme="minorHAnsi" w:cstheme="minorHAnsi"/>
        </w:rPr>
      </w:pPr>
      <w:r>
        <w:rPr>
          <w:rFonts w:asciiTheme="minorHAnsi" w:hAnsiTheme="minorHAnsi" w:cstheme="minorHAnsi"/>
          <w:sz w:val="28"/>
        </w:rPr>
        <w:t>Activity: Comparing NCTM Mathematics Teaching Practice to Virginia Mathematics Process Goals for Students</w:t>
      </w:r>
    </w:p>
    <w:p w:rsidR="00CF56B7" w:rsidRPr="00424CE2" w:rsidRDefault="00CF56B7" w:rsidP="00CF56B7">
      <w:pPr>
        <w:keepNext/>
        <w:pBdr>
          <w:bottom w:val="single" w:sz="12" w:space="1" w:color="auto"/>
        </w:pBdr>
        <w:spacing w:before="160"/>
        <w:outlineLvl w:val="0"/>
        <w:rPr>
          <w:rFonts w:asciiTheme="minorHAnsi" w:hAnsiTheme="minorHAnsi" w:cs="Arial"/>
          <w:b w:val="0"/>
          <w:sz w:val="28"/>
          <w:szCs w:val="30"/>
        </w:rPr>
      </w:pPr>
      <w:r w:rsidRPr="00424CE2">
        <w:rPr>
          <w:rFonts w:asciiTheme="minorHAnsi" w:hAnsiTheme="minorHAnsi" w:cs="Arial"/>
          <w:sz w:val="28"/>
          <w:szCs w:val="30"/>
        </w:rPr>
        <w:t>Mathematical Process Goals for Students</w:t>
      </w:r>
    </w:p>
    <w:p w:rsidR="00CF56B7" w:rsidRPr="00BB2CC6" w:rsidRDefault="00CF56B7" w:rsidP="00CF56B7">
      <w:pPr>
        <w:spacing w:before="120"/>
        <w:jc w:val="both"/>
        <w:rPr>
          <w:rFonts w:asciiTheme="minorHAnsi" w:hAnsiTheme="minorHAnsi"/>
          <w:b w:val="0"/>
        </w:rPr>
      </w:pPr>
      <w:r w:rsidRPr="00BB2CC6">
        <w:rPr>
          <w:rFonts w:asciiTheme="minorHAnsi" w:hAnsiTheme="minorHAnsi"/>
          <w:b w:val="0"/>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Problem Solving</w:t>
      </w:r>
      <w:r>
        <w:rPr>
          <w:rFonts w:asciiTheme="minorHAnsi" w:hAnsiTheme="minorHAnsi"/>
          <w:sz w:val="24"/>
          <w:szCs w:val="24"/>
        </w:rPr>
        <w:t xml:space="preserve"> (PS)</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 types. A major goal of the mathematics program is to help students apply mathematics concepts and skills to become mathematical problem solvers.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Communication</w:t>
      </w:r>
      <w:r>
        <w:rPr>
          <w:rFonts w:asciiTheme="minorHAnsi" w:hAnsiTheme="minorHAnsi"/>
          <w:sz w:val="24"/>
          <w:szCs w:val="24"/>
        </w:rPr>
        <w:t xml:space="preserve"> (CM)</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to clarify their thinking and deepen their understanding of the mathematics being studied. Mathematical communication becomes visible where learning involves participation in mathematical discussions.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Reasoning</w:t>
      </w:r>
      <w:r>
        <w:rPr>
          <w:rFonts w:asciiTheme="minorHAnsi" w:hAnsiTheme="minorHAnsi"/>
          <w:sz w:val="24"/>
          <w:szCs w:val="24"/>
        </w:rPr>
        <w:t xml:space="preserve"> (RN)</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Connections</w:t>
      </w:r>
      <w:r>
        <w:rPr>
          <w:rFonts w:asciiTheme="minorHAnsi" w:hAnsiTheme="minorHAnsi"/>
          <w:sz w:val="24"/>
          <w:szCs w:val="24"/>
        </w:rPr>
        <w:t xml:space="preserve"> (CN)</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 xml:space="preserve">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 </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Representations</w:t>
      </w:r>
      <w:r>
        <w:rPr>
          <w:rFonts w:asciiTheme="minorHAnsi" w:hAnsiTheme="minorHAnsi"/>
          <w:sz w:val="24"/>
          <w:szCs w:val="24"/>
        </w:rPr>
        <w:t xml:space="preserve"> (RP)</w:t>
      </w:r>
    </w:p>
    <w:p w:rsidR="00CF56B7" w:rsidRPr="00424CE2" w:rsidRDefault="00CF56B7" w:rsidP="00CF56B7">
      <w:pPr>
        <w:spacing w:after="100"/>
        <w:jc w:val="both"/>
        <w:rPr>
          <w:rFonts w:asciiTheme="minorHAnsi" w:hAnsiTheme="minorHAnsi"/>
        </w:rPr>
      </w:pPr>
      <w:r w:rsidRPr="00BB2CC6">
        <w:rPr>
          <w:rFonts w:asciiTheme="minorHAnsi" w:hAnsiTheme="minorHAnsi"/>
          <w:b w:val="0"/>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10086A" w:rsidRDefault="00E5563D">
      <w:bookmarkStart w:id="0" w:name="_GoBack"/>
      <w:bookmarkEnd w:id="0"/>
    </w:p>
    <w:p w:rsidR="00E5563D" w:rsidRPr="00E5563D" w:rsidRDefault="00E5563D" w:rsidP="00E5563D">
      <w:pPr>
        <w:rPr>
          <w:b w:val="0"/>
        </w:rPr>
      </w:pPr>
      <w:r>
        <w:rPr>
          <w:rFonts w:asciiTheme="minorHAnsi" w:hAnsiTheme="minorHAnsi" w:cs="Arial"/>
          <w:b w:val="0"/>
        </w:rPr>
        <w:t xml:space="preserve">Resource:  </w:t>
      </w:r>
      <w:r w:rsidRPr="00E5563D">
        <w:rPr>
          <w:rFonts w:asciiTheme="minorHAnsi" w:hAnsiTheme="minorHAnsi" w:cs="Arial"/>
          <w:b w:val="0"/>
        </w:rPr>
        <w:t>Mathematics Standards of Learning for Virginia Public Schools – September 2016</w:t>
      </w:r>
    </w:p>
    <w:sectPr w:rsidR="00E5563D" w:rsidRPr="00E5563D" w:rsidSect="00A347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0D"/>
    <w:rsid w:val="0023422F"/>
    <w:rsid w:val="005D54B1"/>
    <w:rsid w:val="00741359"/>
    <w:rsid w:val="00800D23"/>
    <w:rsid w:val="00804EAB"/>
    <w:rsid w:val="00904F0E"/>
    <w:rsid w:val="00A3470D"/>
    <w:rsid w:val="00BB2CC6"/>
    <w:rsid w:val="00CF56B7"/>
    <w:rsid w:val="00D3435E"/>
    <w:rsid w:val="00E5563D"/>
    <w:rsid w:val="00E952A2"/>
    <w:rsid w:val="00F7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C244"/>
  <w15:chartTrackingRefBased/>
  <w15:docId w15:val="{AEB355B1-D717-42F4-8B7B-FD56EE01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0D"/>
    <w:pPr>
      <w:spacing w:after="0" w:line="240" w:lineRule="auto"/>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0D"/>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470D"/>
    <w:pPr>
      <w:spacing w:before="100" w:beforeAutospacing="1" w:after="100" w:afterAutospacing="1"/>
    </w:pPr>
    <w:rPr>
      <w:rFonts w:eastAsiaTheme="minorEastAsia"/>
      <w:b w:val="0"/>
      <w:sz w:val="24"/>
      <w:szCs w:val="24"/>
    </w:rPr>
  </w:style>
  <w:style w:type="paragraph" w:styleId="Header">
    <w:name w:val="header"/>
    <w:basedOn w:val="Normal"/>
    <w:link w:val="HeaderChar"/>
    <w:rsid w:val="00CF56B7"/>
    <w:rPr>
      <w:rFonts w:ascii="CG Omega" w:eastAsia="Times" w:hAnsi="CG Omega"/>
      <w:b w:val="0"/>
      <w:i/>
      <w:sz w:val="18"/>
      <w:szCs w:val="20"/>
    </w:rPr>
  </w:style>
  <w:style w:type="character" w:customStyle="1" w:styleId="HeaderChar">
    <w:name w:val="Header Char"/>
    <w:basedOn w:val="DefaultParagraphFont"/>
    <w:link w:val="Header"/>
    <w:rsid w:val="00CF56B7"/>
    <w:rPr>
      <w:rFonts w:ascii="CG Omega" w:eastAsia="Times" w:hAnsi="CG Omega" w:cs="Times New Roman"/>
      <w:i/>
      <w:sz w:val="18"/>
      <w:szCs w:val="20"/>
    </w:rPr>
  </w:style>
  <w:style w:type="paragraph" w:styleId="BalloonText">
    <w:name w:val="Balloon Text"/>
    <w:basedOn w:val="Normal"/>
    <w:link w:val="BalloonTextChar"/>
    <w:uiPriority w:val="99"/>
    <w:semiHidden/>
    <w:unhideWhenUsed/>
    <w:rsid w:val="005D5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B1"/>
    <w:rPr>
      <w:rFonts w:ascii="Segoe UI" w:hAnsi="Segoe UI" w:cs="Segoe UI"/>
      <w:b/>
      <w:sz w:val="18"/>
      <w:szCs w:val="18"/>
    </w:rPr>
  </w:style>
  <w:style w:type="paragraph" w:styleId="ListParagraph">
    <w:name w:val="List Paragraph"/>
    <w:basedOn w:val="Normal"/>
    <w:uiPriority w:val="34"/>
    <w:qFormat/>
    <w:rsid w:val="005D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AAA9-A323-4D77-B33D-83213DEE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Delozier, Debra (DOE)</cp:lastModifiedBy>
  <cp:revision>5</cp:revision>
  <cp:lastPrinted>2018-08-21T13:43:00Z</cp:lastPrinted>
  <dcterms:created xsi:type="dcterms:W3CDTF">2018-08-17T16:55:00Z</dcterms:created>
  <dcterms:modified xsi:type="dcterms:W3CDTF">2018-10-18T18:00:00Z</dcterms:modified>
</cp:coreProperties>
</file>