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23" w:rsidRDefault="00393123" w:rsidP="00393123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>Tracking Log</w:t>
      </w:r>
    </w:p>
    <w:p w:rsidR="00393123" w:rsidRPr="00B375FB" w:rsidRDefault="00393123" w:rsidP="00393123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Bridging from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91304F">
        <w:rPr>
          <w:rFonts w:asciiTheme="minorHAnsi" w:hAnsiTheme="minorHAnsi" w:cstheme="minorHAnsi"/>
          <w:b/>
          <w:bCs/>
          <w:sz w:val="28"/>
        </w:rPr>
        <w:t>Trigonometry</w:t>
      </w:r>
    </w:p>
    <w:p w:rsidR="00127EE7" w:rsidRDefault="00127EE7" w:rsidP="0039312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F232A0" w:rsidRPr="00507E58" w:rsidRDefault="00393123" w:rsidP="00393123">
      <w:pPr>
        <w:spacing w:after="120"/>
        <w:rPr>
          <w:rFonts w:asciiTheme="minorHAnsi" w:hAnsiTheme="minorHAnsi" w:cstheme="minorHAnsi"/>
          <w:sz w:val="16"/>
        </w:rPr>
      </w:pPr>
      <w:r w:rsidRPr="0039312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91304F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39312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91304F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39312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  </w:t>
      </w:r>
    </w:p>
    <w:tbl>
      <w:tblPr>
        <w:tblStyle w:val="TableGrid"/>
        <w:tblW w:w="18805" w:type="dxa"/>
        <w:jc w:val="center"/>
        <w:tblLook w:val="04A0" w:firstRow="1" w:lastRow="0" w:firstColumn="1" w:lastColumn="0" w:noHBand="0" w:noVBand="1"/>
      </w:tblPr>
      <w:tblGrid>
        <w:gridCol w:w="8920"/>
        <w:gridCol w:w="1179"/>
        <w:gridCol w:w="1356"/>
        <w:gridCol w:w="7350"/>
      </w:tblGrid>
      <w:tr w:rsidR="0091304F" w:rsidRPr="008A62A1" w:rsidTr="00C0330E">
        <w:trPr>
          <w:tblHeader/>
          <w:jc w:val="center"/>
        </w:trPr>
        <w:tc>
          <w:tcPr>
            <w:tcW w:w="8920" w:type="dxa"/>
            <w:shd w:val="clear" w:color="auto" w:fill="C5E0B3" w:themeFill="accent6" w:themeFillTint="66"/>
            <w:vAlign w:val="center"/>
          </w:tcPr>
          <w:p w:rsidR="0091304F" w:rsidRPr="008A62A1" w:rsidRDefault="0091304F" w:rsidP="0091304F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C5E0B3" w:themeFill="accent6" w:themeFillTint="66"/>
            <w:vAlign w:val="center"/>
          </w:tcPr>
          <w:p w:rsidR="0091304F" w:rsidRDefault="0091304F" w:rsidP="009130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:rsidR="0091304F" w:rsidRDefault="0091304F" w:rsidP="0091304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7350" w:type="dxa"/>
            <w:shd w:val="clear" w:color="auto" w:fill="C5E0B3" w:themeFill="accent6" w:themeFillTint="66"/>
            <w:vAlign w:val="center"/>
          </w:tcPr>
          <w:p w:rsidR="0091304F" w:rsidRPr="008A62A1" w:rsidRDefault="0091304F" w:rsidP="009130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tandard2"/>
              <w:tabs>
                <w:tab w:val="left" w:pos="0"/>
              </w:tabs>
              <w:spacing w:after="120"/>
              <w:ind w:left="0" w:right="9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b w:val="0"/>
                <w:sz w:val="22"/>
                <w:szCs w:val="22"/>
              </w:rPr>
              <w:t>T.1</w:t>
            </w: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A62A1">
              <w:rPr>
                <w:rFonts w:asciiTheme="minorHAnsi" w:hAnsiTheme="minorHAnsi" w:cstheme="minorHAnsi"/>
                <w:b w:val="0"/>
                <w:sz w:val="22"/>
                <w:szCs w:val="22"/>
              </w:rPr>
              <w:t>The student, given a point on the terminal side of</w:t>
            </w: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62A1">
              <w:rPr>
                <w:rFonts w:asciiTheme="minorHAnsi" w:hAnsiTheme="minorHAnsi" w:cstheme="minorHAnsi"/>
                <w:b w:val="0"/>
                <w:sz w:val="22"/>
                <w:szCs w:val="22"/>
              </w:rPr>
              <w:t>an angle</w:t>
            </w: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62A1">
              <w:rPr>
                <w:rFonts w:asciiTheme="minorHAnsi" w:hAnsiTheme="minorHAnsi" w:cstheme="minorHAnsi"/>
                <w:b w:val="0"/>
                <w:sz w:val="22"/>
                <w:szCs w:val="22"/>
              </w:rPr>
              <w:t>in standard position, or the value of the trigonometric function of the angle, will determine the sine, cosine, tangent, cotangent, secant, and cosecant of the angle.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ind w:left="1080" w:hanging="1080"/>
              <w:rPr>
                <w:rFonts w:asciiTheme="minorHAnsi" w:hAnsiTheme="minorHAnsi" w:cstheme="minorHAnsi"/>
              </w:rPr>
            </w:pPr>
            <w:proofErr w:type="gramStart"/>
            <w:r w:rsidRPr="008A62A1">
              <w:rPr>
                <w:rFonts w:asciiTheme="minorHAnsi" w:hAnsiTheme="minorHAnsi" w:cstheme="minorHAnsi"/>
              </w:rPr>
              <w:t>T.2  The</w:t>
            </w:r>
            <w:proofErr w:type="gramEnd"/>
            <w:r w:rsidRPr="008A62A1">
              <w:rPr>
                <w:rFonts w:asciiTheme="minorHAnsi" w:hAnsiTheme="minorHAnsi" w:cstheme="minorHAnsi"/>
              </w:rPr>
              <w:t xml:space="preserve"> student will develop and apply the properties of the unit circle in degrees and radians.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8A62A1">
              <w:rPr>
                <w:rFonts w:asciiTheme="minorHAnsi" w:hAnsiTheme="minorHAnsi" w:cstheme="minorHAnsi"/>
              </w:rPr>
              <w:t>T.3  The student, given one of the six trigonometric functions in standard form, will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E7E6E6" w:themeFill="background2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state the domain and the range of the function;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determine the amplitude, period, phase shift, vertical shift, and asymptotes;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sketch the graph of the function by using transformations for at least a two-period interval; and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investigate</w:t>
            </w:r>
            <w:proofErr w:type="gramEnd"/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the effect of changing the parameters in a trigonometric function on the graph of the function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ind w:left="1080" w:hanging="108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T.4  </w:t>
            </w:r>
            <w:r w:rsidRPr="008A62A1">
              <w:rPr>
                <w:rFonts w:asciiTheme="minorHAnsi" w:hAnsiTheme="minorHAnsi" w:cstheme="minorHAnsi"/>
              </w:rPr>
              <w:t>The</w:t>
            </w:r>
            <w:proofErr w:type="gramEnd"/>
            <w:r w:rsidRPr="008A62A1">
              <w:rPr>
                <w:rFonts w:asciiTheme="minorHAnsi" w:hAnsiTheme="minorHAnsi" w:cstheme="minorHAnsi"/>
              </w:rPr>
              <w:t xml:space="preserve"> student will graph the six inverse trigonometric functions.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T.5  </w:t>
            </w: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student will verify basic trigonometric identities and make substitutions, using the basic identities.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ind w:left="1080" w:hanging="108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T.6  </w:t>
            </w:r>
            <w:r w:rsidRPr="008A62A1">
              <w:rPr>
                <w:rFonts w:asciiTheme="minorHAnsi" w:hAnsiTheme="minorHAnsi" w:cstheme="minorHAnsi"/>
              </w:rPr>
              <w:t>The</w:t>
            </w:r>
            <w:proofErr w:type="gramEnd"/>
            <w:r w:rsidRPr="008A62A1">
              <w:rPr>
                <w:rFonts w:asciiTheme="minorHAnsi" w:hAnsiTheme="minorHAnsi" w:cstheme="minorHAnsi"/>
              </w:rPr>
              <w:t xml:space="preserve"> student will solve trigonometric equations and inequalities.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0"/>
              </w:tabs>
              <w:spacing w:before="120" w:after="120"/>
              <w:ind w:left="0" w:firstLine="0"/>
              <w:rPr>
                <w:rFonts w:asciiTheme="minorHAnsi" w:hAnsiTheme="minorHAnsi" w:cstheme="minorHAnsi"/>
              </w:rPr>
            </w:pPr>
            <w:proofErr w:type="gramStart"/>
            <w:r w:rsidRPr="008A62A1">
              <w:rPr>
                <w:rFonts w:asciiTheme="minorHAnsi" w:hAnsiTheme="minorHAnsi" w:cstheme="minorHAnsi"/>
              </w:rPr>
              <w:lastRenderedPageBreak/>
              <w:t>T.7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A62A1">
              <w:rPr>
                <w:rFonts w:asciiTheme="minorHAnsi" w:hAnsiTheme="minorHAnsi" w:cstheme="minorHAnsi"/>
              </w:rPr>
              <w:t>The</w:t>
            </w:r>
            <w:proofErr w:type="gramEnd"/>
            <w:r w:rsidRPr="008A62A1">
              <w:rPr>
                <w:rFonts w:asciiTheme="minorHAnsi" w:hAnsiTheme="minorHAnsi" w:cstheme="minorHAnsi"/>
              </w:rPr>
              <w:t xml:space="preserve"> student will determine the value of any trigonometric function and inverse trigonometric function.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ind w:left="1080" w:hanging="1080"/>
              <w:rPr>
                <w:rFonts w:asciiTheme="minorHAnsi" w:hAnsiTheme="minorHAnsi" w:cstheme="minorHAnsi"/>
              </w:rPr>
            </w:pPr>
            <w:proofErr w:type="gramStart"/>
            <w:r w:rsidRPr="008A62A1">
              <w:rPr>
                <w:rFonts w:asciiTheme="minorHAnsi" w:hAnsiTheme="minorHAnsi" w:cstheme="minorHAnsi"/>
              </w:rPr>
              <w:t>T.8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A62A1">
              <w:rPr>
                <w:rFonts w:asciiTheme="minorHAnsi" w:hAnsiTheme="minorHAnsi" w:cstheme="minorHAnsi"/>
              </w:rPr>
              <w:t>The</w:t>
            </w:r>
            <w:proofErr w:type="gramEnd"/>
            <w:r w:rsidRPr="008A62A1">
              <w:rPr>
                <w:rFonts w:asciiTheme="minorHAnsi" w:hAnsiTheme="minorHAnsi" w:cstheme="minorHAnsi"/>
              </w:rPr>
              <w:t xml:space="preserve"> student will create and solve practical problems involving triangles. 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SOLNumber"/>
              <w:tabs>
                <w:tab w:val="left" w:pos="1080"/>
              </w:tabs>
              <w:spacing w:before="120" w:after="120"/>
              <w:ind w:left="1080" w:hanging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T.9  </w:t>
            </w:r>
            <w:r w:rsidRPr="008A62A1">
              <w:rPr>
                <w:rFonts w:asciiTheme="minorHAnsi" w:hAnsiTheme="minorHAnsi" w:cstheme="minorHAnsi"/>
              </w:rPr>
              <w:t xml:space="preserve">The student will solve problems, including practical problems, involving 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E7E6E6" w:themeFill="background2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E7E6E6" w:themeFill="background2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before="120" w:after="120"/>
              <w:ind w:left="69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arc length and area of sectors in circles using radians and degrees; and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123" w:rsidRPr="008A62A1" w:rsidTr="00393123">
        <w:trPr>
          <w:jc w:val="center"/>
        </w:trPr>
        <w:tc>
          <w:tcPr>
            <w:tcW w:w="8920" w:type="dxa"/>
            <w:vAlign w:val="bottom"/>
          </w:tcPr>
          <w:p w:rsidR="00393123" w:rsidRPr="008A62A1" w:rsidRDefault="00393123" w:rsidP="00393123">
            <w:pPr>
              <w:pStyle w:val="ListParagraph"/>
              <w:numPr>
                <w:ilvl w:val="0"/>
                <w:numId w:val="2"/>
              </w:numPr>
              <w:tabs>
                <w:tab w:val="left" w:pos="697"/>
              </w:tabs>
              <w:spacing w:before="120" w:after="120"/>
              <w:ind w:left="69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A62A1">
              <w:rPr>
                <w:rFonts w:asciiTheme="minorHAnsi" w:hAnsiTheme="minorHAnsi" w:cstheme="minorHAnsi"/>
                <w:sz w:val="22"/>
                <w:szCs w:val="22"/>
              </w:rPr>
              <w:t>linear</w:t>
            </w:r>
            <w:proofErr w:type="gramEnd"/>
            <w:r w:rsidRPr="008A62A1">
              <w:rPr>
                <w:rFonts w:asciiTheme="minorHAnsi" w:hAnsiTheme="minorHAnsi" w:cstheme="minorHAnsi"/>
                <w:sz w:val="22"/>
                <w:szCs w:val="22"/>
              </w:rPr>
              <w:t xml:space="preserve"> and angular velocity.</w:t>
            </w:r>
          </w:p>
        </w:tc>
        <w:tc>
          <w:tcPr>
            <w:tcW w:w="1179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0" w:type="dxa"/>
            <w:vAlign w:val="center"/>
          </w:tcPr>
          <w:p w:rsidR="00393123" w:rsidRPr="008A62A1" w:rsidRDefault="00393123" w:rsidP="008A62A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16BF8" w:rsidRPr="00127EE7" w:rsidRDefault="00C16BF8" w:rsidP="00127EE7">
      <w:pPr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sectPr w:rsidR="00C16BF8" w:rsidRPr="00127EE7" w:rsidSect="00AE44D2">
      <w:footerReference w:type="default" r:id="rId7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AA" w:rsidRDefault="006A10AA" w:rsidP="008F6058">
      <w:r>
        <w:separator/>
      </w:r>
    </w:p>
  </w:endnote>
  <w:endnote w:type="continuationSeparator" w:id="0">
    <w:p w:rsidR="006A10AA" w:rsidRDefault="006A10AA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E7" w:rsidRDefault="00127EE7" w:rsidP="00AE44D2">
    <w:pPr>
      <w:pStyle w:val="Footer"/>
      <w:jc w:val="center"/>
      <w:rPr>
        <w:rFonts w:asciiTheme="minorHAnsi" w:hAnsiTheme="minorHAnsi" w:cstheme="minorHAnsi"/>
      </w:rPr>
    </w:pPr>
  </w:p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Virginia Department of Education </w:t>
    </w:r>
    <w:r w:rsidR="00376FB6">
      <w:rPr>
        <w:rFonts w:asciiTheme="minorHAnsi" w:hAnsiTheme="minorHAnsi" w:cstheme="minorHAnsi"/>
      </w:rPr>
      <w:t xml:space="preserve">– </w:t>
    </w:r>
    <w:r w:rsidR="0091304F">
      <w:rPr>
        <w:rFonts w:asciiTheme="minorHAnsi" w:hAnsiTheme="minorHAnsi" w:cstheme="minorHAnsi"/>
      </w:rPr>
      <w:t>November</w:t>
    </w:r>
    <w:r w:rsidR="00393123">
      <w:rPr>
        <w:rFonts w:asciiTheme="minorHAnsi" w:hAnsiTheme="minorHAnsi" w:cstheme="minorHAnsi"/>
      </w:rPr>
      <w:t xml:space="preserve"> 202</w:t>
    </w:r>
    <w:r w:rsidR="0091304F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AA" w:rsidRDefault="006A10AA" w:rsidP="008F6058">
      <w:r>
        <w:separator/>
      </w:r>
    </w:p>
  </w:footnote>
  <w:footnote w:type="continuationSeparator" w:id="0">
    <w:p w:rsidR="006A10AA" w:rsidRDefault="006A10AA" w:rsidP="008F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8E7"/>
    <w:multiLevelType w:val="hybridMultilevel"/>
    <w:tmpl w:val="CAF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1595A"/>
    <w:multiLevelType w:val="hybridMultilevel"/>
    <w:tmpl w:val="17C098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127EE7"/>
    <w:rsid w:val="00144010"/>
    <w:rsid w:val="00174B62"/>
    <w:rsid w:val="00183D6C"/>
    <w:rsid w:val="002C2C1C"/>
    <w:rsid w:val="00342887"/>
    <w:rsid w:val="00376FB6"/>
    <w:rsid w:val="00393123"/>
    <w:rsid w:val="00401246"/>
    <w:rsid w:val="00423767"/>
    <w:rsid w:val="00435F7E"/>
    <w:rsid w:val="00460D72"/>
    <w:rsid w:val="004E468B"/>
    <w:rsid w:val="004E468E"/>
    <w:rsid w:val="00507E58"/>
    <w:rsid w:val="0051624C"/>
    <w:rsid w:val="0052420B"/>
    <w:rsid w:val="005B073B"/>
    <w:rsid w:val="005B5092"/>
    <w:rsid w:val="005C6B2C"/>
    <w:rsid w:val="00613729"/>
    <w:rsid w:val="00687B87"/>
    <w:rsid w:val="006A10AA"/>
    <w:rsid w:val="006A1B9A"/>
    <w:rsid w:val="006F11F4"/>
    <w:rsid w:val="00727451"/>
    <w:rsid w:val="0077116C"/>
    <w:rsid w:val="007E39EB"/>
    <w:rsid w:val="00804EAB"/>
    <w:rsid w:val="00820179"/>
    <w:rsid w:val="008A20B9"/>
    <w:rsid w:val="008A62A1"/>
    <w:rsid w:val="008E76E3"/>
    <w:rsid w:val="008F6058"/>
    <w:rsid w:val="0091304F"/>
    <w:rsid w:val="00916949"/>
    <w:rsid w:val="0092349C"/>
    <w:rsid w:val="00991CE5"/>
    <w:rsid w:val="00993BE2"/>
    <w:rsid w:val="009C17E2"/>
    <w:rsid w:val="00AC6D70"/>
    <w:rsid w:val="00AE44D2"/>
    <w:rsid w:val="00B05C3D"/>
    <w:rsid w:val="00B375FB"/>
    <w:rsid w:val="00BB3BC8"/>
    <w:rsid w:val="00BC4463"/>
    <w:rsid w:val="00C06571"/>
    <w:rsid w:val="00C16BF8"/>
    <w:rsid w:val="00C260BC"/>
    <w:rsid w:val="00C43ABD"/>
    <w:rsid w:val="00C475A2"/>
    <w:rsid w:val="00C51CB8"/>
    <w:rsid w:val="00D20027"/>
    <w:rsid w:val="00D3435E"/>
    <w:rsid w:val="00D40AA8"/>
    <w:rsid w:val="00D52AF1"/>
    <w:rsid w:val="00E07341"/>
    <w:rsid w:val="00E25224"/>
    <w:rsid w:val="00E75953"/>
    <w:rsid w:val="00EE67AF"/>
    <w:rsid w:val="00F0487F"/>
    <w:rsid w:val="00F232A0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DB72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7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2">
    <w:name w:val="Standard2"/>
    <w:basedOn w:val="Normal"/>
    <w:next w:val="Normal"/>
    <w:rsid w:val="008A62A1"/>
    <w:pPr>
      <w:spacing w:before="120"/>
      <w:ind w:left="173" w:right="446"/>
    </w:pPr>
    <w:rPr>
      <w:rFonts w:eastAsia="Times"/>
      <w:b/>
      <w:sz w:val="24"/>
    </w:rPr>
  </w:style>
  <w:style w:type="paragraph" w:customStyle="1" w:styleId="SOLNumber">
    <w:name w:val="SOL Number"/>
    <w:basedOn w:val="Normal"/>
    <w:next w:val="Normal"/>
    <w:link w:val="SOLNumberChar"/>
    <w:rsid w:val="008A62A1"/>
    <w:pPr>
      <w:keepLines/>
      <w:spacing w:before="100"/>
      <w:ind w:left="907" w:hanging="907"/>
    </w:pPr>
    <w:rPr>
      <w:rFonts w:eastAsia="Times"/>
      <w:sz w:val="22"/>
      <w:szCs w:val="22"/>
    </w:rPr>
  </w:style>
  <w:style w:type="character" w:customStyle="1" w:styleId="SOLNumberChar">
    <w:name w:val="SOL Number Char"/>
    <w:link w:val="SOLNumber"/>
    <w:rsid w:val="008A62A1"/>
    <w:rPr>
      <w:rFonts w:eastAsia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8A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2022-11-22T02:43:00Z</dcterms:created>
  <dcterms:modified xsi:type="dcterms:W3CDTF">2022-11-22T02:43:00Z</dcterms:modified>
</cp:coreProperties>
</file>