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25477" w:rsidRDefault="00325477" w14:paraId="1649597B" w14:textId="77777777">
      <w:pPr>
        <w:pStyle w:val="BodyText"/>
        <w:spacing w:before="0"/>
        <w:rPr>
          <w:sz w:val="20"/>
        </w:rPr>
      </w:pPr>
    </w:p>
    <w:p w:rsidR="00325477" w:rsidRDefault="00325477" w14:paraId="16FA83C0" w14:textId="77777777">
      <w:pPr>
        <w:pStyle w:val="BodyText"/>
        <w:spacing w:before="0"/>
        <w:rPr>
          <w:sz w:val="20"/>
        </w:rPr>
      </w:pPr>
    </w:p>
    <w:p w:rsidR="00325477" w:rsidRDefault="003366E5" w14:paraId="239D1BD7" w14:textId="77777777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001FF9" wp14:editId="5DD76F3E">
            <wp:simplePos x="0" y="0"/>
            <wp:positionH relativeFrom="page">
              <wp:posOffset>914400</wp:posOffset>
            </wp:positionH>
            <wp:positionV relativeFrom="paragraph">
              <wp:posOffset>121303</wp:posOffset>
            </wp:positionV>
            <wp:extent cx="3543872" cy="561975"/>
            <wp:effectExtent l="0" t="0" r="0" b="0"/>
            <wp:wrapTopAndBottom/>
            <wp:docPr id="1" name="image1.png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87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77" w:rsidRDefault="00325477" w14:paraId="5D41DEB2" w14:textId="77777777">
      <w:pPr>
        <w:pStyle w:val="BodyText"/>
        <w:spacing w:before="6"/>
        <w:rPr>
          <w:sz w:val="25"/>
        </w:rPr>
      </w:pPr>
    </w:p>
    <w:p w:rsidR="00325477" w:rsidRDefault="003366E5" w14:paraId="43093977" w14:textId="77777777">
      <w:pPr>
        <w:spacing w:before="99"/>
        <w:ind w:left="100"/>
        <w:rPr>
          <w:b/>
          <w:sz w:val="32"/>
        </w:rPr>
      </w:pPr>
      <w:r>
        <w:rPr>
          <w:b/>
          <w:sz w:val="32"/>
        </w:rPr>
        <w:t>EIRI Assessment Schedule</w:t>
      </w:r>
    </w:p>
    <w:p w:rsidR="00325477" w:rsidRDefault="00325477" w14:paraId="53EE6C29" w14:textId="77777777"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169"/>
        <w:gridCol w:w="2498"/>
        <w:gridCol w:w="2676"/>
      </w:tblGrid>
      <w:tr w:rsidR="00325477" w:rsidTr="0F085148" w14:paraId="32327575" w14:textId="77777777">
        <w:trPr>
          <w:trHeight w:val="268"/>
        </w:trPr>
        <w:tc>
          <w:tcPr>
            <w:tcW w:w="1562" w:type="dxa"/>
            <w:shd w:val="clear" w:color="auto" w:fill="D0CECE"/>
            <w:tcMar/>
          </w:tcPr>
          <w:p w:rsidR="00325477" w:rsidRDefault="00325477" w14:paraId="7CB84A3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shd w:val="clear" w:color="auto" w:fill="D0CECE"/>
            <w:tcMar/>
          </w:tcPr>
          <w:p w:rsidR="00325477" w:rsidRDefault="003366E5" w14:paraId="45051533" w14:textId="77777777">
            <w:pPr>
              <w:pStyle w:val="TableParagraph"/>
              <w:spacing w:line="248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Fall</w:t>
            </w:r>
          </w:p>
        </w:tc>
        <w:tc>
          <w:tcPr>
            <w:tcW w:w="2498" w:type="dxa"/>
            <w:shd w:val="clear" w:color="auto" w:fill="D0CECE"/>
            <w:tcMar/>
          </w:tcPr>
          <w:p w:rsidR="00325477" w:rsidRDefault="003366E5" w14:paraId="6F0B15EC" w14:textId="77777777">
            <w:pPr>
              <w:pStyle w:val="TableParagraph"/>
              <w:spacing w:line="248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Mid-Year</w:t>
            </w:r>
          </w:p>
        </w:tc>
        <w:tc>
          <w:tcPr>
            <w:tcW w:w="2676" w:type="dxa"/>
            <w:shd w:val="clear" w:color="auto" w:fill="D0CECE"/>
            <w:tcMar/>
          </w:tcPr>
          <w:p w:rsidR="00325477" w:rsidRDefault="003366E5" w14:paraId="1754FB1E" w14:textId="77777777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Spring</w:t>
            </w:r>
          </w:p>
        </w:tc>
      </w:tr>
      <w:tr w:rsidR="00325477" w:rsidTr="0F085148" w14:paraId="2FD0A5CF" w14:textId="77777777">
        <w:trPr>
          <w:trHeight w:val="1770"/>
        </w:trPr>
        <w:tc>
          <w:tcPr>
            <w:tcW w:w="1562" w:type="dxa"/>
            <w:shd w:val="clear" w:color="auto" w:fill="D0CECE"/>
            <w:tcMar/>
          </w:tcPr>
          <w:p w:rsidR="00325477" w:rsidRDefault="003366E5" w14:paraId="54D0CEE3" w14:textId="77777777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2169" w:type="dxa"/>
            <w:tcMar/>
          </w:tcPr>
          <w:p w:rsidR="00325477" w:rsidRDefault="003366E5" w14:paraId="699DBBF2" w14:textId="77777777">
            <w:pPr>
              <w:pStyle w:val="TableParagraph"/>
              <w:spacing w:line="242" w:lineRule="auto"/>
              <w:ind w:left="105" w:right="872"/>
            </w:pPr>
            <w:r>
              <w:t>All students screened</w:t>
            </w:r>
          </w:p>
        </w:tc>
        <w:tc>
          <w:tcPr>
            <w:tcW w:w="2498" w:type="dxa"/>
            <w:tcMar/>
          </w:tcPr>
          <w:p w:rsidR="00325477" w:rsidRDefault="003366E5" w14:paraId="634018D1" w14:textId="77777777">
            <w:pPr>
              <w:pStyle w:val="TableParagraph"/>
              <w:ind w:left="108" w:right="634"/>
            </w:pPr>
            <w:r>
              <w:t>Optional progress monitoring window</w:t>
            </w:r>
          </w:p>
        </w:tc>
        <w:tc>
          <w:tcPr>
            <w:tcW w:w="2676" w:type="dxa"/>
            <w:tcMar/>
          </w:tcPr>
          <w:p w:rsidR="00325477" w:rsidRDefault="003366E5" w14:paraId="2D04E4F7" w14:textId="77777777">
            <w:pPr>
              <w:pStyle w:val="TableParagraph"/>
              <w:spacing w:line="243" w:lineRule="exact"/>
            </w:pPr>
            <w:r>
              <w:t>All students screened</w:t>
            </w:r>
          </w:p>
        </w:tc>
      </w:tr>
      <w:tr w:rsidR="00325477" w:rsidTr="0F085148" w14:paraId="407C8902" w14:textId="77777777">
        <w:trPr>
          <w:trHeight w:val="1770"/>
        </w:trPr>
        <w:tc>
          <w:tcPr>
            <w:tcW w:w="1562" w:type="dxa"/>
            <w:shd w:val="clear" w:color="auto" w:fill="D0CECE"/>
            <w:tcMar/>
          </w:tcPr>
          <w:p w:rsidR="00325477" w:rsidRDefault="003366E5" w14:paraId="7275B403" w14:textId="77777777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First Grade</w:t>
            </w:r>
          </w:p>
        </w:tc>
        <w:tc>
          <w:tcPr>
            <w:tcW w:w="2169" w:type="dxa"/>
            <w:tcMar/>
          </w:tcPr>
          <w:p w:rsidR="00325477" w:rsidRDefault="003366E5" w14:paraId="2887D1AD" w14:textId="1244D46F">
            <w:pPr>
              <w:pStyle w:val="TableParagraph"/>
              <w:ind w:left="105" w:right="711"/>
            </w:pPr>
            <w:r w:rsidR="003366E5">
              <w:rPr/>
              <w:t>All students screened</w:t>
            </w:r>
          </w:p>
        </w:tc>
        <w:tc>
          <w:tcPr>
            <w:tcW w:w="2498" w:type="dxa"/>
            <w:tcMar/>
          </w:tcPr>
          <w:p w:rsidR="00325477" w:rsidRDefault="003366E5" w14:paraId="7D83939D" w14:textId="77777777">
            <w:pPr>
              <w:pStyle w:val="TableParagraph"/>
              <w:ind w:left="108" w:right="634"/>
            </w:pPr>
            <w:r>
              <w:t>Optional progress monitoring window</w:t>
            </w:r>
          </w:p>
        </w:tc>
        <w:tc>
          <w:tcPr>
            <w:tcW w:w="2676" w:type="dxa"/>
            <w:tcMar/>
          </w:tcPr>
          <w:p w:rsidR="00325477" w:rsidRDefault="003366E5" w14:paraId="3BC2EFF6" w14:textId="77777777">
            <w:pPr>
              <w:pStyle w:val="TableParagraph"/>
              <w:spacing w:line="245" w:lineRule="exact"/>
            </w:pPr>
            <w:r>
              <w:t>All students screened</w:t>
            </w:r>
          </w:p>
        </w:tc>
      </w:tr>
      <w:tr w:rsidR="00325477" w:rsidTr="0F085148" w14:paraId="008494F4" w14:textId="77777777">
        <w:trPr>
          <w:trHeight w:val="1773"/>
        </w:trPr>
        <w:tc>
          <w:tcPr>
            <w:tcW w:w="1562" w:type="dxa"/>
            <w:shd w:val="clear" w:color="auto" w:fill="D0CECE"/>
            <w:tcMar/>
          </w:tcPr>
          <w:p w:rsidR="00325477" w:rsidRDefault="003366E5" w14:paraId="04A0E700" w14:textId="77777777">
            <w:pPr>
              <w:pStyle w:val="TableParagraph"/>
              <w:ind w:left="107" w:right="691"/>
              <w:rPr>
                <w:b/>
              </w:rPr>
            </w:pPr>
            <w:r>
              <w:rPr>
                <w:b/>
              </w:rPr>
              <w:t>Second Grade</w:t>
            </w:r>
          </w:p>
        </w:tc>
        <w:tc>
          <w:tcPr>
            <w:tcW w:w="2169" w:type="dxa"/>
            <w:tcMar/>
          </w:tcPr>
          <w:p w:rsidR="00325477" w:rsidRDefault="003366E5" w14:paraId="2BCA933D" w14:textId="617E9967">
            <w:pPr>
              <w:pStyle w:val="TableParagraph"/>
              <w:ind w:left="105" w:right="711"/>
            </w:pPr>
            <w:r w:rsidR="003366E5">
              <w:rPr/>
              <w:t>All students screened</w:t>
            </w:r>
          </w:p>
        </w:tc>
        <w:tc>
          <w:tcPr>
            <w:tcW w:w="2498" w:type="dxa"/>
            <w:tcMar/>
          </w:tcPr>
          <w:p w:rsidR="00325477" w:rsidRDefault="003366E5" w14:paraId="157F5365" w14:textId="77777777">
            <w:pPr>
              <w:pStyle w:val="TableParagraph"/>
              <w:ind w:left="108" w:right="634"/>
            </w:pPr>
            <w:r>
              <w:t>Optional progress monitoring window</w:t>
            </w:r>
          </w:p>
        </w:tc>
        <w:tc>
          <w:tcPr>
            <w:tcW w:w="2676" w:type="dxa"/>
            <w:tcMar/>
          </w:tcPr>
          <w:p w:rsidR="00325477" w:rsidRDefault="003366E5" w14:paraId="50AF0110" w14:textId="77777777">
            <w:pPr>
              <w:pStyle w:val="TableParagraph"/>
              <w:ind w:right="371"/>
            </w:pPr>
            <w:r>
              <w:t>All students without a "high</w:t>
            </w:r>
          </w:p>
          <w:p w:rsidR="00325477" w:rsidRDefault="003366E5" w14:paraId="64C8A591" w14:textId="77777777">
            <w:pPr>
              <w:pStyle w:val="TableParagraph"/>
              <w:ind w:right="326"/>
            </w:pPr>
            <w:r>
              <w:t>benchmark* score" are screened</w:t>
            </w:r>
          </w:p>
        </w:tc>
      </w:tr>
      <w:tr w:rsidR="00325477" w:rsidTr="0F085148" w14:paraId="58736618" w14:textId="77777777">
        <w:trPr>
          <w:trHeight w:val="1787"/>
        </w:trPr>
        <w:tc>
          <w:tcPr>
            <w:tcW w:w="1562" w:type="dxa"/>
            <w:shd w:val="clear" w:color="auto" w:fill="D0CECE"/>
            <w:tcMar/>
          </w:tcPr>
          <w:p w:rsidR="00325477" w:rsidRDefault="003366E5" w14:paraId="79530FFB" w14:textId="77777777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Third Grade</w:t>
            </w:r>
          </w:p>
        </w:tc>
        <w:tc>
          <w:tcPr>
            <w:tcW w:w="2169" w:type="dxa"/>
            <w:tcMar/>
          </w:tcPr>
          <w:p w:rsidR="00325477" w:rsidRDefault="003366E5" w14:paraId="02990AFF" w14:textId="77777777">
            <w:pPr>
              <w:pStyle w:val="TableParagraph"/>
              <w:ind w:left="105" w:right="232"/>
            </w:pPr>
            <w:r>
              <w:t xml:space="preserve">Students who are new to Virginia public schools and students who received summer intervention </w:t>
            </w:r>
            <w:proofErr w:type="gramStart"/>
            <w:r>
              <w:t>are</w:t>
            </w:r>
            <w:proofErr w:type="gramEnd"/>
          </w:p>
          <w:p w:rsidR="00325477" w:rsidRDefault="003366E5" w14:paraId="44478C90" w14:textId="77777777">
            <w:pPr>
              <w:pStyle w:val="TableParagraph"/>
              <w:spacing w:line="247" w:lineRule="exact"/>
              <w:ind w:left="105"/>
            </w:pPr>
            <w:r>
              <w:t>screened</w:t>
            </w:r>
          </w:p>
        </w:tc>
        <w:tc>
          <w:tcPr>
            <w:tcW w:w="2498" w:type="dxa"/>
            <w:tcMar/>
          </w:tcPr>
          <w:p w:rsidR="00325477" w:rsidRDefault="003366E5" w14:paraId="07E84570" w14:textId="77777777">
            <w:pPr>
              <w:pStyle w:val="TableParagraph"/>
              <w:ind w:left="108" w:right="634"/>
            </w:pPr>
            <w:r>
              <w:t>Optional progress monitoring window</w:t>
            </w:r>
          </w:p>
        </w:tc>
        <w:tc>
          <w:tcPr>
            <w:tcW w:w="2676" w:type="dxa"/>
            <w:tcMar/>
          </w:tcPr>
          <w:p w:rsidR="00325477" w:rsidRDefault="003366E5" w14:paraId="74BC8AFD" w14:textId="77777777">
            <w:pPr>
              <w:pStyle w:val="TableParagraph"/>
              <w:ind w:right="371"/>
            </w:pPr>
            <w:r>
              <w:t xml:space="preserve">All students take the </w:t>
            </w:r>
            <w:proofErr w:type="gramStart"/>
            <w:r>
              <w:t>SOL</w:t>
            </w:r>
            <w:proofErr w:type="gramEnd"/>
          </w:p>
          <w:p w:rsidR="00325477" w:rsidRDefault="003366E5" w14:paraId="002CF9AF" w14:textId="77777777">
            <w:pPr>
              <w:pStyle w:val="TableParagraph"/>
            </w:pPr>
            <w:r>
              <w:t>English/ reading test</w:t>
            </w:r>
          </w:p>
        </w:tc>
      </w:tr>
    </w:tbl>
    <w:p w:rsidR="00325477" w:rsidRDefault="00325477" w14:paraId="5E209769" w14:textId="77777777">
      <w:pPr>
        <w:pStyle w:val="BodyText"/>
        <w:rPr>
          <w:b/>
          <w:sz w:val="36"/>
        </w:rPr>
      </w:pPr>
    </w:p>
    <w:p w:rsidR="00325477" w:rsidRDefault="003366E5" w14:paraId="235D8691" w14:textId="2A6071E5">
      <w:pPr>
        <w:pStyle w:val="BodyText"/>
        <w:ind w:left="100" w:right="230"/>
      </w:pPr>
      <w:r w:rsidR="003366E5">
        <w:rPr/>
        <w:t xml:space="preserve">*The purpose of the high benchmark is to exempt from future </w:t>
      </w:r>
      <w:r w:rsidR="22C20F91">
        <w:rPr/>
        <w:t>V</w:t>
      </w:r>
      <w:r w:rsidR="6EDAFC95">
        <w:rPr/>
        <w:t>A</w:t>
      </w:r>
      <w:r w:rsidR="22C20F91">
        <w:rPr/>
        <w:t>LLSS</w:t>
      </w:r>
      <w:r w:rsidR="003366E5">
        <w:rPr/>
        <w:t xml:space="preserve"> screenings those students whose scores are so high in spring of second grade, that it is unlikely that future screenings will identify them for additional instruction. Students meet</w:t>
      </w:r>
      <w:r w:rsidR="003366E5">
        <w:rPr/>
        <w:t xml:space="preserve">ing the high benchmark do not need to take </w:t>
      </w:r>
      <w:r w:rsidR="3EFED485">
        <w:rPr/>
        <w:t>a V</w:t>
      </w:r>
      <w:r w:rsidR="3A0C3CC8">
        <w:rPr/>
        <w:t>A</w:t>
      </w:r>
      <w:r w:rsidR="3EFED485">
        <w:rPr/>
        <w:t>LLSS provided literacy screener</w:t>
      </w:r>
      <w:r w:rsidR="003366E5">
        <w:rPr/>
        <w:t xml:space="preserve"> </w:t>
      </w:r>
      <w:r w:rsidR="003366E5">
        <w:rPr/>
        <w:t xml:space="preserve">in the future unless the teacher wishes to administer </w:t>
      </w:r>
      <w:r w:rsidR="323025ED">
        <w:rPr/>
        <w:t>a V</w:t>
      </w:r>
      <w:r w:rsidR="5D4CE755">
        <w:rPr/>
        <w:t>A</w:t>
      </w:r>
      <w:r w:rsidR="323025ED">
        <w:rPr/>
        <w:t>LLSS provided literacy screener</w:t>
      </w:r>
      <w:r w:rsidR="003366E5">
        <w:rPr/>
        <w:t xml:space="preserve"> to those students for instructional purposes.</w:t>
      </w:r>
    </w:p>
    <w:sectPr w:rsidR="00325477">
      <w:type w:val="continuous"/>
      <w:pgSz w:w="12240" w:h="15840" w:orient="portrait"/>
      <w:pgMar w:top="64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477"/>
    <w:rsid w:val="00325477"/>
    <w:rsid w:val="003366E5"/>
    <w:rsid w:val="00D71269"/>
    <w:rsid w:val="015138C8"/>
    <w:rsid w:val="0F085148"/>
    <w:rsid w:val="22C20F91"/>
    <w:rsid w:val="30EA87B4"/>
    <w:rsid w:val="323025ED"/>
    <w:rsid w:val="362C7D6A"/>
    <w:rsid w:val="3A0C3CC8"/>
    <w:rsid w:val="3EFED485"/>
    <w:rsid w:val="53EB266E"/>
    <w:rsid w:val="5D4CE755"/>
    <w:rsid w:val="68BAF4D3"/>
    <w:rsid w:val="6EDAFC95"/>
    <w:rsid w:val="6F978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3AB4"/>
  <w15:docId w15:val="{142CDB8E-F1F2-4550-9C81-AE66384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Nogueras, Jill (DOE)</lastModifiedBy>
  <revision>6</revision>
  <dcterms:created xsi:type="dcterms:W3CDTF">2023-03-07T18:58:00.0000000Z</dcterms:created>
  <dcterms:modified xsi:type="dcterms:W3CDTF">2023-05-10T13:57:20.0513766Z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2023-03-06T00:00:00Z</vt:filetime>
  </property>
</Properties>
</file>