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CFC" w:rsidRDefault="006C7CFC" w:rsidP="006C7CFC">
      <w:pPr>
        <w:jc w:val="center"/>
        <w:rPr>
          <w:rFonts w:asciiTheme="minorHAnsi" w:hAnsiTheme="minorHAnsi" w:cstheme="minorHAnsi"/>
          <w:b/>
          <w:bCs/>
          <w:color w:val="000000"/>
          <w:sz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</w:rPr>
        <w:t xml:space="preserve">Virginia Mathematics Standards of Learning </w:t>
      </w:r>
      <w:r w:rsidRPr="00B375FB">
        <w:rPr>
          <w:rFonts w:asciiTheme="minorHAnsi" w:hAnsiTheme="minorHAnsi" w:cstheme="minorHAnsi"/>
          <w:b/>
          <w:bCs/>
          <w:color w:val="000000"/>
          <w:sz w:val="28"/>
        </w:rPr>
        <w:t>Tracking Log</w:t>
      </w:r>
    </w:p>
    <w:p w:rsidR="006C7CFC" w:rsidRPr="00B375FB" w:rsidRDefault="006C7CFC" w:rsidP="006C7CFC">
      <w:pPr>
        <w:jc w:val="center"/>
        <w:rPr>
          <w:rFonts w:asciiTheme="minorHAnsi" w:hAnsiTheme="minorHAnsi" w:cstheme="minorHAnsi"/>
          <w:b/>
          <w:bCs/>
          <w:color w:val="000000"/>
          <w:sz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</w:rPr>
        <w:t>Bridging from</w:t>
      </w:r>
      <w:r w:rsidRPr="00B375FB">
        <w:rPr>
          <w:rFonts w:asciiTheme="minorHAnsi" w:hAnsiTheme="minorHAnsi" w:cstheme="minorHAnsi"/>
          <w:b/>
          <w:bCs/>
          <w:color w:val="000000"/>
          <w:sz w:val="28"/>
        </w:rPr>
        <w:t xml:space="preserve"> </w:t>
      </w:r>
      <w:r w:rsidRPr="00470DCE">
        <w:rPr>
          <w:rFonts w:asciiTheme="minorHAnsi" w:hAnsiTheme="minorHAnsi" w:cstheme="minorHAnsi"/>
          <w:b/>
          <w:bCs/>
          <w:sz w:val="28"/>
        </w:rPr>
        <w:t>Discrete Mathematics</w:t>
      </w:r>
    </w:p>
    <w:p w:rsidR="0028212F" w:rsidRDefault="0028212F" w:rsidP="008F6058">
      <w:pPr>
        <w:jc w:val="center"/>
        <w:rPr>
          <w:rFonts w:asciiTheme="minorHAnsi" w:hAnsiTheme="minorHAnsi" w:cstheme="minorHAnsi"/>
          <w:b/>
          <w:bCs/>
          <w:color w:val="000000"/>
          <w:sz w:val="28"/>
        </w:rPr>
      </w:pPr>
    </w:p>
    <w:p w:rsidR="006C7CFC" w:rsidRPr="00507E58" w:rsidRDefault="006C7CFC" w:rsidP="006C7CFC">
      <w:pPr>
        <w:spacing w:after="120"/>
        <w:ind w:left="270"/>
        <w:rPr>
          <w:rFonts w:asciiTheme="minorHAnsi" w:hAnsiTheme="minorHAnsi" w:cstheme="minorHAnsi"/>
          <w:sz w:val="16"/>
        </w:rPr>
      </w:pPr>
      <w:r w:rsidRPr="00B34533">
        <w:rPr>
          <w:rFonts w:ascii="Calibri" w:eastAsia="Times New Roman" w:hAnsi="Calibri" w:cs="Calibri"/>
          <w:color w:val="000000"/>
          <w:sz w:val="24"/>
          <w:szCs w:val="24"/>
        </w:rPr>
        <w:t xml:space="preserve">The skills and strategies introduced in the Mathematics Standards of Learning vertically articulate from kindergarten to high school and many standards build in complexity within K-12 instruction. Teachers can use this tracker to help determine which standards students have had sufficient exposure and experience during the </w:t>
      </w:r>
      <w:r w:rsidR="00470DCE">
        <w:rPr>
          <w:rFonts w:ascii="Calibri" w:eastAsia="Times New Roman" w:hAnsi="Calibri" w:cs="Calibri"/>
          <w:color w:val="000000"/>
          <w:sz w:val="24"/>
          <w:szCs w:val="24"/>
        </w:rPr>
        <w:t>previous</w:t>
      </w:r>
      <w:r w:rsidRPr="00B34533">
        <w:rPr>
          <w:rFonts w:ascii="Calibri" w:eastAsia="Times New Roman" w:hAnsi="Calibri" w:cs="Calibri"/>
          <w:color w:val="000000"/>
          <w:sz w:val="24"/>
          <w:szCs w:val="24"/>
        </w:rPr>
        <w:t xml:space="preserve"> school year to make decisions regarding when and how experience with new standards might occur in the </w:t>
      </w:r>
      <w:r w:rsidR="00470DCE">
        <w:rPr>
          <w:rFonts w:ascii="Calibri" w:eastAsia="Times New Roman" w:hAnsi="Calibri" w:cs="Calibri"/>
          <w:color w:val="000000"/>
          <w:sz w:val="24"/>
          <w:szCs w:val="24"/>
        </w:rPr>
        <w:t>current</w:t>
      </w:r>
      <w:r w:rsidRPr="00B34533">
        <w:rPr>
          <w:rFonts w:ascii="Calibri" w:eastAsia="Times New Roman" w:hAnsi="Calibri" w:cs="Calibri"/>
          <w:color w:val="000000"/>
          <w:sz w:val="24"/>
          <w:szCs w:val="24"/>
        </w:rPr>
        <w:t xml:space="preserve"> school year.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</w:p>
    <w:p w:rsidR="00F232A0" w:rsidRPr="00507E58" w:rsidRDefault="00F232A0" w:rsidP="008F6058">
      <w:pPr>
        <w:jc w:val="center"/>
        <w:rPr>
          <w:rFonts w:asciiTheme="minorHAnsi" w:hAnsiTheme="minorHAnsi" w:cstheme="minorHAnsi"/>
          <w:sz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75"/>
        <w:gridCol w:w="1179"/>
        <w:gridCol w:w="1356"/>
        <w:gridCol w:w="6355"/>
      </w:tblGrid>
      <w:tr w:rsidR="00470DCE" w:rsidRPr="00507E58" w:rsidTr="00974FBC">
        <w:trPr>
          <w:tblHeader/>
          <w:jc w:val="center"/>
        </w:trPr>
        <w:tc>
          <w:tcPr>
            <w:tcW w:w="9375" w:type="dxa"/>
            <w:shd w:val="clear" w:color="auto" w:fill="C5E0B3" w:themeFill="accent6" w:themeFillTint="66"/>
            <w:vAlign w:val="center"/>
          </w:tcPr>
          <w:p w:rsidR="00470DCE" w:rsidRPr="006C7CFC" w:rsidRDefault="00470DCE" w:rsidP="00470DCE">
            <w:pPr>
              <w:pStyle w:val="Paragraph"/>
              <w:rPr>
                <w:rFonts w:asciiTheme="minorHAnsi" w:hAnsiTheme="minorHAnsi"/>
                <w:i/>
                <w:sz w:val="20"/>
              </w:rPr>
            </w:pPr>
            <w:r w:rsidRPr="006C7CFC">
              <w:rPr>
                <w:rFonts w:asciiTheme="minorHAnsi" w:hAnsiTheme="minorHAnsi"/>
                <w:i/>
                <w:sz w:val="20"/>
              </w:rPr>
              <w:t>The following standards outline the content of a one-year course in Discrete Mathematics. If a one-semester course is desired, the standards with a dagger (</w:t>
            </w:r>
            <w:r w:rsidRPr="006C7CFC">
              <w:rPr>
                <w:rFonts w:asciiTheme="minorHAnsi" w:hAnsiTheme="minorHAnsi"/>
                <w:i/>
                <w:sz w:val="20"/>
                <w:vertAlign w:val="superscript"/>
              </w:rPr>
              <w:t>†</w:t>
            </w:r>
            <w:r w:rsidRPr="006C7CFC">
              <w:rPr>
                <w:rFonts w:asciiTheme="minorHAnsi" w:hAnsiTheme="minorHAnsi"/>
                <w:i/>
                <w:sz w:val="20"/>
              </w:rPr>
              <w:t>) would apply.</w:t>
            </w:r>
          </w:p>
          <w:p w:rsidR="00470DCE" w:rsidRPr="00507E58" w:rsidRDefault="00470DCE" w:rsidP="00470DC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79" w:type="dxa"/>
            <w:shd w:val="clear" w:color="auto" w:fill="C5E0B3" w:themeFill="accent6" w:themeFillTint="66"/>
            <w:vAlign w:val="center"/>
          </w:tcPr>
          <w:p w:rsidR="00470DCE" w:rsidRDefault="00470DCE" w:rsidP="00470DC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Addressed during previous school year</w:t>
            </w:r>
          </w:p>
        </w:tc>
        <w:tc>
          <w:tcPr>
            <w:tcW w:w="1356" w:type="dxa"/>
            <w:shd w:val="clear" w:color="auto" w:fill="C5E0B3" w:themeFill="accent6" w:themeFillTint="66"/>
            <w:vAlign w:val="center"/>
          </w:tcPr>
          <w:p w:rsidR="00470DCE" w:rsidRDefault="00470DCE" w:rsidP="00470DC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Not Addressed/ Insufficient Exposure during previous school year</w:t>
            </w:r>
          </w:p>
        </w:tc>
        <w:tc>
          <w:tcPr>
            <w:tcW w:w="6355" w:type="dxa"/>
            <w:shd w:val="clear" w:color="auto" w:fill="C5E0B3" w:themeFill="accent6" w:themeFillTint="66"/>
            <w:vAlign w:val="center"/>
          </w:tcPr>
          <w:p w:rsidR="00470DCE" w:rsidRPr="00507E58" w:rsidRDefault="00470DCE" w:rsidP="00470DC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Comments</w:t>
            </w:r>
          </w:p>
        </w:tc>
      </w:tr>
      <w:tr w:rsidR="006C7CFC" w:rsidRPr="00507E58" w:rsidTr="006C7CFC">
        <w:trPr>
          <w:jc w:val="center"/>
        </w:trPr>
        <w:tc>
          <w:tcPr>
            <w:tcW w:w="9375" w:type="dxa"/>
            <w:vAlign w:val="bottom"/>
          </w:tcPr>
          <w:p w:rsidR="006C7CFC" w:rsidRPr="0048318E" w:rsidRDefault="006C7CFC" w:rsidP="006C7CFC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DM.1</w:t>
            </w:r>
            <w:r w:rsidRPr="000D5C53">
              <w:rPr>
                <w:rFonts w:ascii="Calibri" w:hAnsi="Calibri" w:cs="Calibri"/>
                <w:color w:val="000000"/>
                <w:sz w:val="22"/>
                <w:szCs w:val="22"/>
              </w:rPr>
              <w:t>†   The student will model problems, using vertex-edge graphs. The concepts of valence, connectedness, paths, planarity, and directed graphs will be investigated.</w:t>
            </w:r>
          </w:p>
        </w:tc>
        <w:tc>
          <w:tcPr>
            <w:tcW w:w="1179" w:type="dxa"/>
            <w:vAlign w:val="center"/>
          </w:tcPr>
          <w:p w:rsidR="006C7CFC" w:rsidRPr="00507E58" w:rsidRDefault="006C7CFC" w:rsidP="00E55D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6" w:type="dxa"/>
          </w:tcPr>
          <w:p w:rsidR="006C7CFC" w:rsidRDefault="006C7CFC" w:rsidP="00E55DC0">
            <w:pPr>
              <w:jc w:val="center"/>
            </w:pPr>
          </w:p>
        </w:tc>
        <w:tc>
          <w:tcPr>
            <w:tcW w:w="6355" w:type="dxa"/>
            <w:vAlign w:val="center"/>
          </w:tcPr>
          <w:p w:rsidR="006C7CFC" w:rsidRPr="00507E58" w:rsidRDefault="006C7CFC" w:rsidP="00E55D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7CFC" w:rsidRPr="00507E58" w:rsidTr="006C7CFC">
        <w:trPr>
          <w:jc w:val="center"/>
        </w:trPr>
        <w:tc>
          <w:tcPr>
            <w:tcW w:w="9375" w:type="dxa"/>
          </w:tcPr>
          <w:p w:rsidR="006C7CFC" w:rsidRPr="000D5C53" w:rsidRDefault="006C7CFC" w:rsidP="006C7CFC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6888">
              <w:rPr>
                <w:rFonts w:ascii="Calibri" w:hAnsi="Calibri" w:cs="Calibri"/>
                <w:color w:val="000000"/>
                <w:sz w:val="22"/>
                <w:szCs w:val="22"/>
              </w:rPr>
              <w:t>DM.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Start"/>
            <w:r w:rsidRPr="000D5C53">
              <w:rPr>
                <w:rFonts w:ascii="Calibri" w:hAnsi="Calibri" w:cs="Calibri"/>
                <w:color w:val="000000"/>
                <w:sz w:val="22"/>
                <w:szCs w:val="22"/>
              </w:rPr>
              <w:t>†  The</w:t>
            </w:r>
            <w:proofErr w:type="gramEnd"/>
            <w:r w:rsidRPr="000D5C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solve problems through investigation and application of circuits, cycles, Euler paths, Euler circuits, Hamilton paths, and Hamilton circuits. Optimal solutions will be sought using existing algorithms and student-created algorithms.</w:t>
            </w:r>
          </w:p>
        </w:tc>
        <w:tc>
          <w:tcPr>
            <w:tcW w:w="1179" w:type="dxa"/>
            <w:vAlign w:val="center"/>
          </w:tcPr>
          <w:p w:rsidR="006C7CFC" w:rsidRPr="00507E58" w:rsidRDefault="006C7CFC" w:rsidP="004831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6" w:type="dxa"/>
          </w:tcPr>
          <w:p w:rsidR="006C7CFC" w:rsidRDefault="006C7CFC" w:rsidP="0048318E">
            <w:pPr>
              <w:jc w:val="center"/>
            </w:pPr>
          </w:p>
        </w:tc>
        <w:tc>
          <w:tcPr>
            <w:tcW w:w="6355" w:type="dxa"/>
            <w:vAlign w:val="center"/>
          </w:tcPr>
          <w:p w:rsidR="006C7CFC" w:rsidRPr="00507E58" w:rsidRDefault="006C7CFC" w:rsidP="004831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7CFC" w:rsidRPr="00507E58" w:rsidTr="006C7CFC">
        <w:trPr>
          <w:jc w:val="center"/>
        </w:trPr>
        <w:tc>
          <w:tcPr>
            <w:tcW w:w="9375" w:type="dxa"/>
          </w:tcPr>
          <w:p w:rsidR="006C7CFC" w:rsidRPr="000D5C53" w:rsidRDefault="006C7CFC" w:rsidP="006C7CFC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6888">
              <w:rPr>
                <w:rFonts w:ascii="Calibri" w:hAnsi="Calibri" w:cs="Calibri"/>
                <w:color w:val="000000"/>
                <w:sz w:val="22"/>
                <w:szCs w:val="22"/>
              </w:rPr>
              <w:t>DM.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Pr="0048318E">
              <w:rPr>
                <w:rFonts w:ascii="Calibri" w:hAnsi="Calibri" w:cs="Calibri"/>
                <w:color w:val="000000"/>
                <w:sz w:val="22"/>
                <w:szCs w:val="22"/>
              </w:rPr>
              <w:t>† The student will apply graphs to conflict-resolution problems, such as map coloring, scheduling, matching, and optimization.</w:t>
            </w:r>
          </w:p>
        </w:tc>
        <w:tc>
          <w:tcPr>
            <w:tcW w:w="1179" w:type="dxa"/>
            <w:vAlign w:val="center"/>
          </w:tcPr>
          <w:p w:rsidR="006C7CFC" w:rsidRPr="00507E58" w:rsidRDefault="006C7CFC" w:rsidP="004831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6" w:type="dxa"/>
          </w:tcPr>
          <w:p w:rsidR="006C7CFC" w:rsidRDefault="006C7CFC" w:rsidP="0048318E">
            <w:pPr>
              <w:jc w:val="center"/>
            </w:pPr>
          </w:p>
        </w:tc>
        <w:tc>
          <w:tcPr>
            <w:tcW w:w="6355" w:type="dxa"/>
            <w:vAlign w:val="center"/>
          </w:tcPr>
          <w:p w:rsidR="006C7CFC" w:rsidRPr="00507E58" w:rsidRDefault="006C7CFC" w:rsidP="004831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7CFC" w:rsidRPr="00507E58" w:rsidTr="006C7CFC">
        <w:trPr>
          <w:jc w:val="center"/>
        </w:trPr>
        <w:tc>
          <w:tcPr>
            <w:tcW w:w="9375" w:type="dxa"/>
          </w:tcPr>
          <w:p w:rsidR="006C7CFC" w:rsidRPr="000D5C53" w:rsidRDefault="006C7CFC" w:rsidP="006C7CFC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6888">
              <w:rPr>
                <w:rFonts w:ascii="Calibri" w:hAnsi="Calibri" w:cs="Calibri"/>
                <w:color w:val="000000"/>
                <w:sz w:val="22"/>
                <w:szCs w:val="22"/>
              </w:rPr>
              <w:t>DM.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0D5C53">
              <w:rPr>
                <w:rFonts w:ascii="Calibri" w:hAnsi="Calibri" w:cs="Calibri"/>
                <w:color w:val="000000"/>
                <w:sz w:val="22"/>
                <w:szCs w:val="22"/>
              </w:rPr>
              <w:t>† The student will apply algorithms relating to trees, networks, and paths. Appropriate technology will be used to determine the number of possible solutions and generate solutions when a feasible number exists.</w:t>
            </w:r>
          </w:p>
        </w:tc>
        <w:tc>
          <w:tcPr>
            <w:tcW w:w="1179" w:type="dxa"/>
            <w:vAlign w:val="center"/>
          </w:tcPr>
          <w:p w:rsidR="006C7CFC" w:rsidRPr="00507E58" w:rsidRDefault="006C7CFC" w:rsidP="004831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6" w:type="dxa"/>
          </w:tcPr>
          <w:p w:rsidR="006C7CFC" w:rsidRDefault="006C7CFC" w:rsidP="0048318E">
            <w:pPr>
              <w:jc w:val="center"/>
            </w:pPr>
          </w:p>
        </w:tc>
        <w:tc>
          <w:tcPr>
            <w:tcW w:w="6355" w:type="dxa"/>
            <w:vAlign w:val="center"/>
          </w:tcPr>
          <w:p w:rsidR="006C7CFC" w:rsidRPr="00507E58" w:rsidRDefault="006C7CFC" w:rsidP="004831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7CFC" w:rsidRPr="00507E58" w:rsidTr="006C7CFC">
        <w:trPr>
          <w:jc w:val="center"/>
        </w:trPr>
        <w:tc>
          <w:tcPr>
            <w:tcW w:w="9375" w:type="dxa"/>
          </w:tcPr>
          <w:p w:rsidR="006C7CFC" w:rsidRPr="000D5C53" w:rsidRDefault="006C7CFC" w:rsidP="006C7CFC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6888">
              <w:rPr>
                <w:rFonts w:ascii="Calibri" w:hAnsi="Calibri" w:cs="Calibri"/>
                <w:color w:val="000000"/>
                <w:sz w:val="22"/>
                <w:szCs w:val="22"/>
              </w:rPr>
              <w:t>DM.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Pr="000D5C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† The student will investigate and describe weighted voting and the results of various election methods. These may include approval and preference voting as well as plurality, majority, runoff, sequential runoff, </w:t>
            </w:r>
            <w:proofErr w:type="spellStart"/>
            <w:r w:rsidRPr="000D5C53">
              <w:rPr>
                <w:rFonts w:ascii="Calibri" w:hAnsi="Calibri" w:cs="Calibri"/>
                <w:color w:val="000000"/>
                <w:sz w:val="22"/>
                <w:szCs w:val="22"/>
              </w:rPr>
              <w:t>Borda</w:t>
            </w:r>
            <w:proofErr w:type="spellEnd"/>
            <w:r w:rsidRPr="000D5C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count, and Condorcet winners.</w:t>
            </w:r>
          </w:p>
        </w:tc>
        <w:tc>
          <w:tcPr>
            <w:tcW w:w="1179" w:type="dxa"/>
            <w:vAlign w:val="center"/>
          </w:tcPr>
          <w:p w:rsidR="006C7CFC" w:rsidRPr="00507E58" w:rsidRDefault="006C7CFC" w:rsidP="004831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6" w:type="dxa"/>
          </w:tcPr>
          <w:p w:rsidR="006C7CFC" w:rsidRDefault="006C7CFC" w:rsidP="0048318E">
            <w:pPr>
              <w:jc w:val="center"/>
            </w:pPr>
          </w:p>
        </w:tc>
        <w:tc>
          <w:tcPr>
            <w:tcW w:w="6355" w:type="dxa"/>
            <w:vAlign w:val="center"/>
          </w:tcPr>
          <w:p w:rsidR="006C7CFC" w:rsidRPr="00507E58" w:rsidRDefault="006C7CFC" w:rsidP="004831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7CFC" w:rsidRPr="00507E58" w:rsidTr="006C7CFC">
        <w:trPr>
          <w:jc w:val="center"/>
        </w:trPr>
        <w:tc>
          <w:tcPr>
            <w:tcW w:w="9375" w:type="dxa"/>
          </w:tcPr>
          <w:p w:rsidR="006C7CFC" w:rsidRPr="000D5C53" w:rsidRDefault="006C7CFC" w:rsidP="006C7CFC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5C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DM.7 The student will identify apportionment inconsistencies that apply to issues such as salary caps in sports and allocation of representatives to Congress. Historical and current methods will be compared. </w:t>
            </w:r>
          </w:p>
        </w:tc>
        <w:tc>
          <w:tcPr>
            <w:tcW w:w="1179" w:type="dxa"/>
            <w:vAlign w:val="center"/>
          </w:tcPr>
          <w:p w:rsidR="006C7CFC" w:rsidRPr="00507E58" w:rsidRDefault="006C7CFC" w:rsidP="004831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6" w:type="dxa"/>
          </w:tcPr>
          <w:p w:rsidR="006C7CFC" w:rsidRDefault="006C7CFC" w:rsidP="0048318E">
            <w:pPr>
              <w:jc w:val="center"/>
            </w:pPr>
          </w:p>
        </w:tc>
        <w:tc>
          <w:tcPr>
            <w:tcW w:w="6355" w:type="dxa"/>
            <w:vAlign w:val="center"/>
          </w:tcPr>
          <w:p w:rsidR="006C7CFC" w:rsidRPr="00507E58" w:rsidRDefault="006C7CFC" w:rsidP="004831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7CFC" w:rsidRPr="00507E58" w:rsidTr="006C7CFC">
        <w:trPr>
          <w:jc w:val="center"/>
        </w:trPr>
        <w:tc>
          <w:tcPr>
            <w:tcW w:w="9375" w:type="dxa"/>
          </w:tcPr>
          <w:p w:rsidR="006C7CFC" w:rsidRPr="000D5C53" w:rsidRDefault="006C7CFC" w:rsidP="006C7CFC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6888">
              <w:rPr>
                <w:rFonts w:ascii="Calibri" w:hAnsi="Calibri" w:cs="Calibri"/>
                <w:color w:val="000000"/>
                <w:sz w:val="22"/>
                <w:szCs w:val="22"/>
              </w:rPr>
              <w:t>DM.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</w:t>
            </w:r>
            <w:r w:rsidRPr="000D5C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student will describe and apply sorting algorithms and coding algorithms used in sorting, processing, and communicating information. </w:t>
            </w:r>
          </w:p>
        </w:tc>
        <w:tc>
          <w:tcPr>
            <w:tcW w:w="1179" w:type="dxa"/>
            <w:vAlign w:val="center"/>
          </w:tcPr>
          <w:p w:rsidR="006C7CFC" w:rsidRPr="00507E58" w:rsidRDefault="006C7CFC" w:rsidP="0048318E">
            <w:pPr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1356" w:type="dxa"/>
          </w:tcPr>
          <w:p w:rsidR="006C7CFC" w:rsidRDefault="006C7CFC" w:rsidP="0048318E">
            <w:pPr>
              <w:jc w:val="center"/>
            </w:pPr>
          </w:p>
        </w:tc>
        <w:tc>
          <w:tcPr>
            <w:tcW w:w="6355" w:type="dxa"/>
            <w:vAlign w:val="center"/>
          </w:tcPr>
          <w:p w:rsidR="006C7CFC" w:rsidRPr="00507E58" w:rsidRDefault="006C7CFC" w:rsidP="004831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7CFC" w:rsidRPr="00507E58" w:rsidTr="006C7CFC">
        <w:trPr>
          <w:jc w:val="center"/>
        </w:trPr>
        <w:tc>
          <w:tcPr>
            <w:tcW w:w="9375" w:type="dxa"/>
          </w:tcPr>
          <w:p w:rsidR="006C7CFC" w:rsidRPr="000D5C53" w:rsidRDefault="006C7CFC" w:rsidP="006C7CFC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688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DM.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Pr="000D5C53">
              <w:rPr>
                <w:rFonts w:ascii="Calibri" w:hAnsi="Calibri" w:cs="Calibri"/>
                <w:color w:val="000000"/>
                <w:sz w:val="22"/>
                <w:szCs w:val="22"/>
              </w:rPr>
              <w:t>† The student will select, justify, and apply an appropriate technique to solve a logic problem.</w:t>
            </w:r>
          </w:p>
        </w:tc>
        <w:tc>
          <w:tcPr>
            <w:tcW w:w="1179" w:type="dxa"/>
            <w:vAlign w:val="center"/>
          </w:tcPr>
          <w:p w:rsidR="006C7CFC" w:rsidRPr="00507E58" w:rsidRDefault="006C7CFC" w:rsidP="004831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6" w:type="dxa"/>
          </w:tcPr>
          <w:p w:rsidR="006C7CFC" w:rsidRDefault="006C7CFC" w:rsidP="0048318E">
            <w:pPr>
              <w:jc w:val="center"/>
            </w:pPr>
          </w:p>
        </w:tc>
        <w:tc>
          <w:tcPr>
            <w:tcW w:w="6355" w:type="dxa"/>
            <w:vAlign w:val="center"/>
          </w:tcPr>
          <w:p w:rsidR="006C7CFC" w:rsidRPr="00507E58" w:rsidRDefault="006C7CFC" w:rsidP="004831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7CFC" w:rsidRPr="00507E58" w:rsidTr="006C7CFC">
        <w:trPr>
          <w:jc w:val="center"/>
        </w:trPr>
        <w:tc>
          <w:tcPr>
            <w:tcW w:w="9375" w:type="dxa"/>
          </w:tcPr>
          <w:p w:rsidR="006C7CFC" w:rsidRPr="000D5C53" w:rsidRDefault="006C7CFC" w:rsidP="006C7CFC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6888">
              <w:rPr>
                <w:rFonts w:ascii="Calibri" w:hAnsi="Calibri" w:cs="Calibri"/>
                <w:color w:val="000000"/>
                <w:sz w:val="22"/>
                <w:szCs w:val="22"/>
              </w:rPr>
              <w:t>DM.1</w:t>
            </w:r>
            <w:r w:rsidRPr="000D5C53">
              <w:rPr>
                <w:rFonts w:ascii="Calibri" w:hAnsi="Calibri" w:cs="Calibri"/>
                <w:color w:val="000000"/>
                <w:sz w:val="22"/>
                <w:szCs w:val="22"/>
              </w:rPr>
              <w:t>0 The student will use algorithms to schedule tasks in order to determine a minimum project time. The algorithms will include critical path analysis, the list-processing algorithm, and student-created algorithms.</w:t>
            </w:r>
          </w:p>
        </w:tc>
        <w:tc>
          <w:tcPr>
            <w:tcW w:w="1179" w:type="dxa"/>
            <w:vAlign w:val="center"/>
          </w:tcPr>
          <w:p w:rsidR="006C7CFC" w:rsidRPr="00507E58" w:rsidRDefault="006C7CFC" w:rsidP="004831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6" w:type="dxa"/>
          </w:tcPr>
          <w:p w:rsidR="006C7CFC" w:rsidRDefault="006C7CFC" w:rsidP="0048318E">
            <w:pPr>
              <w:jc w:val="center"/>
            </w:pPr>
          </w:p>
        </w:tc>
        <w:tc>
          <w:tcPr>
            <w:tcW w:w="6355" w:type="dxa"/>
            <w:vAlign w:val="center"/>
          </w:tcPr>
          <w:p w:rsidR="006C7CFC" w:rsidRPr="00507E58" w:rsidRDefault="006C7CFC" w:rsidP="0048318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7CFC" w:rsidRPr="00507E58" w:rsidTr="006C7CFC">
        <w:trPr>
          <w:jc w:val="center"/>
        </w:trPr>
        <w:tc>
          <w:tcPr>
            <w:tcW w:w="9375" w:type="dxa"/>
          </w:tcPr>
          <w:p w:rsidR="006C7CFC" w:rsidRPr="000D5C53" w:rsidRDefault="006C7CFC" w:rsidP="006C7CFC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6888">
              <w:rPr>
                <w:rFonts w:ascii="Calibri" w:hAnsi="Calibri" w:cs="Calibri"/>
                <w:color w:val="000000"/>
                <w:sz w:val="22"/>
                <w:szCs w:val="22"/>
              </w:rPr>
              <w:t>DM.1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0D5C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 student will solve linear programming problems.</w:t>
            </w:r>
          </w:p>
        </w:tc>
        <w:tc>
          <w:tcPr>
            <w:tcW w:w="1179" w:type="dxa"/>
            <w:vAlign w:val="center"/>
          </w:tcPr>
          <w:p w:rsidR="006C7CFC" w:rsidRPr="00507E58" w:rsidRDefault="006C7CFC" w:rsidP="004831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6" w:type="dxa"/>
          </w:tcPr>
          <w:p w:rsidR="006C7CFC" w:rsidRPr="00507E58" w:rsidRDefault="006C7CFC" w:rsidP="004831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55" w:type="dxa"/>
            <w:vAlign w:val="center"/>
          </w:tcPr>
          <w:p w:rsidR="006C7CFC" w:rsidRPr="00E55DC0" w:rsidRDefault="006C7CFC" w:rsidP="0048318E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6C7CFC" w:rsidRPr="00507E58" w:rsidTr="006C7CFC">
        <w:trPr>
          <w:jc w:val="center"/>
        </w:trPr>
        <w:tc>
          <w:tcPr>
            <w:tcW w:w="9375" w:type="dxa"/>
          </w:tcPr>
          <w:p w:rsidR="006C7CFC" w:rsidRPr="000D5C53" w:rsidRDefault="006C7CFC" w:rsidP="006C7CFC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6888">
              <w:rPr>
                <w:rFonts w:ascii="Calibri" w:hAnsi="Calibri" w:cs="Calibri"/>
                <w:color w:val="000000"/>
                <w:sz w:val="22"/>
                <w:szCs w:val="22"/>
              </w:rPr>
              <w:t>DM.1</w:t>
            </w:r>
            <w:r w:rsidRPr="000D5C53">
              <w:rPr>
                <w:rFonts w:ascii="Calibri" w:hAnsi="Calibri" w:cs="Calibri"/>
                <w:color w:val="000000"/>
                <w:sz w:val="22"/>
                <w:szCs w:val="22"/>
              </w:rPr>
              <w:t>2a The student will use the recursive process and difference equations with the aid of appropriate technology to generate compound interest;</w:t>
            </w:r>
          </w:p>
        </w:tc>
        <w:tc>
          <w:tcPr>
            <w:tcW w:w="1179" w:type="dxa"/>
            <w:vAlign w:val="center"/>
          </w:tcPr>
          <w:p w:rsidR="006C7CFC" w:rsidRPr="00507E58" w:rsidRDefault="006C7CFC" w:rsidP="0048318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6" w:type="dxa"/>
          </w:tcPr>
          <w:p w:rsidR="006C7CFC" w:rsidRDefault="006C7CFC" w:rsidP="0048318E">
            <w:pPr>
              <w:jc w:val="center"/>
            </w:pPr>
          </w:p>
        </w:tc>
        <w:tc>
          <w:tcPr>
            <w:tcW w:w="6355" w:type="dxa"/>
            <w:vAlign w:val="center"/>
          </w:tcPr>
          <w:p w:rsidR="006C7CFC" w:rsidRPr="00507E58" w:rsidRDefault="006C7CFC" w:rsidP="0048318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C7CFC" w:rsidRPr="00507E58" w:rsidTr="006C7CFC">
        <w:trPr>
          <w:jc w:val="center"/>
        </w:trPr>
        <w:tc>
          <w:tcPr>
            <w:tcW w:w="9375" w:type="dxa"/>
          </w:tcPr>
          <w:p w:rsidR="006C7CFC" w:rsidRPr="000D5C53" w:rsidRDefault="006C7CFC" w:rsidP="006C7CFC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6888">
              <w:rPr>
                <w:rFonts w:ascii="Calibri" w:hAnsi="Calibri" w:cs="Calibri"/>
                <w:color w:val="000000"/>
                <w:sz w:val="22"/>
                <w:szCs w:val="22"/>
              </w:rPr>
              <w:t>DM.1</w:t>
            </w:r>
            <w:r w:rsidRPr="000D5C53">
              <w:rPr>
                <w:rFonts w:ascii="Calibri" w:hAnsi="Calibri" w:cs="Calibri"/>
                <w:color w:val="000000"/>
                <w:sz w:val="22"/>
                <w:szCs w:val="22"/>
              </w:rPr>
              <w:t>2b The student will use the recursive process and difference equations with the aid of appropriate technology to generate sequences and series;</w:t>
            </w:r>
          </w:p>
        </w:tc>
        <w:tc>
          <w:tcPr>
            <w:tcW w:w="1179" w:type="dxa"/>
            <w:vAlign w:val="center"/>
          </w:tcPr>
          <w:p w:rsidR="006C7CFC" w:rsidRPr="00507E58" w:rsidRDefault="006C7CFC" w:rsidP="0048318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6" w:type="dxa"/>
          </w:tcPr>
          <w:p w:rsidR="006C7CFC" w:rsidRDefault="006C7CFC" w:rsidP="0048318E">
            <w:pPr>
              <w:jc w:val="center"/>
            </w:pPr>
          </w:p>
        </w:tc>
        <w:tc>
          <w:tcPr>
            <w:tcW w:w="6355" w:type="dxa"/>
            <w:vAlign w:val="center"/>
          </w:tcPr>
          <w:p w:rsidR="006C7CFC" w:rsidRPr="00507E58" w:rsidRDefault="006C7CFC" w:rsidP="0048318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C7CFC" w:rsidRPr="00507E58" w:rsidTr="006C7CFC">
        <w:trPr>
          <w:jc w:val="center"/>
        </w:trPr>
        <w:tc>
          <w:tcPr>
            <w:tcW w:w="9375" w:type="dxa"/>
            <w:vAlign w:val="bottom"/>
          </w:tcPr>
          <w:p w:rsidR="006C7CFC" w:rsidRDefault="006C7CFC" w:rsidP="006C7CFC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6888">
              <w:rPr>
                <w:rFonts w:ascii="Calibri" w:hAnsi="Calibri" w:cs="Calibri"/>
                <w:color w:val="000000"/>
                <w:sz w:val="22"/>
                <w:szCs w:val="22"/>
              </w:rPr>
              <w:t>DM.1</w:t>
            </w:r>
            <w:r w:rsidRPr="000D5C53">
              <w:rPr>
                <w:rFonts w:ascii="Calibri" w:hAnsi="Calibri" w:cs="Calibri"/>
                <w:color w:val="000000"/>
                <w:sz w:val="22"/>
                <w:szCs w:val="22"/>
              </w:rPr>
              <w:t>2c The student will use the recursive process and difference equations with the aid of appropriate technology to generate fractals;</w:t>
            </w:r>
          </w:p>
        </w:tc>
        <w:tc>
          <w:tcPr>
            <w:tcW w:w="1179" w:type="dxa"/>
            <w:vAlign w:val="center"/>
          </w:tcPr>
          <w:p w:rsidR="006C7CFC" w:rsidRPr="00507E58" w:rsidRDefault="006C7CFC" w:rsidP="00E55DC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6" w:type="dxa"/>
          </w:tcPr>
          <w:p w:rsidR="006C7CFC" w:rsidRDefault="006C7CFC" w:rsidP="00E55DC0">
            <w:pPr>
              <w:jc w:val="center"/>
            </w:pPr>
          </w:p>
        </w:tc>
        <w:tc>
          <w:tcPr>
            <w:tcW w:w="6355" w:type="dxa"/>
            <w:vAlign w:val="center"/>
          </w:tcPr>
          <w:p w:rsidR="006C7CFC" w:rsidRPr="00507E58" w:rsidRDefault="006C7CFC" w:rsidP="00E55DC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C7CFC" w:rsidRPr="00507E58" w:rsidTr="006C7CFC">
        <w:trPr>
          <w:jc w:val="center"/>
        </w:trPr>
        <w:tc>
          <w:tcPr>
            <w:tcW w:w="9375" w:type="dxa"/>
            <w:vAlign w:val="bottom"/>
          </w:tcPr>
          <w:p w:rsidR="006C7CFC" w:rsidRDefault="006C7CFC" w:rsidP="006C7CFC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6888">
              <w:rPr>
                <w:rFonts w:ascii="Calibri" w:hAnsi="Calibri" w:cs="Calibri"/>
                <w:color w:val="000000"/>
                <w:sz w:val="22"/>
                <w:szCs w:val="22"/>
              </w:rPr>
              <w:t>DM.1</w:t>
            </w:r>
            <w:r w:rsidRPr="000D5C53">
              <w:rPr>
                <w:rFonts w:ascii="Calibri" w:hAnsi="Calibri" w:cs="Calibri"/>
                <w:color w:val="000000"/>
                <w:sz w:val="22"/>
                <w:szCs w:val="22"/>
              </w:rPr>
              <w:t>2d The student will use the recursive process and difference equations with the aid of appropriate technology to generate population growth models; and</w:t>
            </w:r>
          </w:p>
        </w:tc>
        <w:tc>
          <w:tcPr>
            <w:tcW w:w="1179" w:type="dxa"/>
            <w:vAlign w:val="center"/>
          </w:tcPr>
          <w:p w:rsidR="006C7CFC" w:rsidRPr="00507E58" w:rsidRDefault="006C7CFC" w:rsidP="00E55DC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6" w:type="dxa"/>
          </w:tcPr>
          <w:p w:rsidR="006C7CFC" w:rsidRDefault="006C7CFC" w:rsidP="00E55DC0">
            <w:pPr>
              <w:jc w:val="center"/>
            </w:pPr>
          </w:p>
        </w:tc>
        <w:tc>
          <w:tcPr>
            <w:tcW w:w="6355" w:type="dxa"/>
            <w:vAlign w:val="center"/>
          </w:tcPr>
          <w:p w:rsidR="006C7CFC" w:rsidRPr="00507E58" w:rsidRDefault="006C7CFC" w:rsidP="00E55DC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C7CFC" w:rsidRPr="00507E58" w:rsidTr="006C7CFC">
        <w:trPr>
          <w:jc w:val="center"/>
        </w:trPr>
        <w:tc>
          <w:tcPr>
            <w:tcW w:w="9375" w:type="dxa"/>
            <w:vAlign w:val="bottom"/>
          </w:tcPr>
          <w:p w:rsidR="006C7CFC" w:rsidRDefault="006C7CFC" w:rsidP="006C7CFC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6888">
              <w:rPr>
                <w:rFonts w:ascii="Calibri" w:hAnsi="Calibri" w:cs="Calibri"/>
                <w:color w:val="000000"/>
                <w:sz w:val="22"/>
                <w:szCs w:val="22"/>
              </w:rPr>
              <w:t>DM.1</w:t>
            </w:r>
            <w:r w:rsidRPr="000D5C53">
              <w:rPr>
                <w:rFonts w:ascii="Calibri" w:hAnsi="Calibri" w:cs="Calibri"/>
                <w:color w:val="000000"/>
                <w:sz w:val="22"/>
                <w:szCs w:val="22"/>
              </w:rPr>
              <w:t>2e The student will use the recursive process and difference equations with the aid of appropriate technology to generate the Fibonacci sequence.</w:t>
            </w:r>
          </w:p>
        </w:tc>
        <w:tc>
          <w:tcPr>
            <w:tcW w:w="1179" w:type="dxa"/>
            <w:vAlign w:val="center"/>
          </w:tcPr>
          <w:p w:rsidR="006C7CFC" w:rsidRPr="00507E58" w:rsidRDefault="006C7CFC" w:rsidP="00E55DC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6" w:type="dxa"/>
          </w:tcPr>
          <w:p w:rsidR="006C7CFC" w:rsidRDefault="006C7CFC" w:rsidP="00E55DC0">
            <w:pPr>
              <w:jc w:val="center"/>
            </w:pPr>
          </w:p>
        </w:tc>
        <w:tc>
          <w:tcPr>
            <w:tcW w:w="6355" w:type="dxa"/>
            <w:vAlign w:val="center"/>
          </w:tcPr>
          <w:p w:rsidR="006C7CFC" w:rsidRPr="00507E58" w:rsidRDefault="006C7CFC" w:rsidP="00E55DC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C7CFC" w:rsidRPr="00507E58" w:rsidTr="006C7CFC">
        <w:trPr>
          <w:jc w:val="center"/>
        </w:trPr>
        <w:tc>
          <w:tcPr>
            <w:tcW w:w="9375" w:type="dxa"/>
            <w:vAlign w:val="bottom"/>
          </w:tcPr>
          <w:p w:rsidR="006C7CFC" w:rsidRDefault="006C7CFC" w:rsidP="006C7CFC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DM.13a  </w:t>
            </w:r>
            <w:r w:rsidRPr="000D5C53">
              <w:rPr>
                <w:rFonts w:ascii="Calibri" w:hAnsi="Calibri" w:cs="Calibri"/>
                <w:color w:val="000000"/>
                <w:sz w:val="22"/>
                <w:szCs w:val="22"/>
              </w:rPr>
              <w:t>The student will apply the formulas of combinatorics in the areas of the Fundamental (Basic) Counting Principle;</w:t>
            </w:r>
          </w:p>
        </w:tc>
        <w:tc>
          <w:tcPr>
            <w:tcW w:w="1179" w:type="dxa"/>
            <w:vAlign w:val="center"/>
          </w:tcPr>
          <w:p w:rsidR="006C7CFC" w:rsidRPr="00507E58" w:rsidRDefault="006C7CFC" w:rsidP="00E55DC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6" w:type="dxa"/>
          </w:tcPr>
          <w:p w:rsidR="006C7CFC" w:rsidRDefault="006C7CFC" w:rsidP="00E55DC0">
            <w:pPr>
              <w:jc w:val="center"/>
            </w:pPr>
          </w:p>
        </w:tc>
        <w:tc>
          <w:tcPr>
            <w:tcW w:w="6355" w:type="dxa"/>
            <w:vAlign w:val="center"/>
          </w:tcPr>
          <w:p w:rsidR="006C7CFC" w:rsidRPr="00507E58" w:rsidRDefault="006C7CFC" w:rsidP="00E55D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7CFC" w:rsidRPr="00507E58" w:rsidTr="006C7CFC">
        <w:trPr>
          <w:jc w:val="center"/>
        </w:trPr>
        <w:tc>
          <w:tcPr>
            <w:tcW w:w="9375" w:type="dxa"/>
            <w:vAlign w:val="bottom"/>
          </w:tcPr>
          <w:p w:rsidR="006C7CFC" w:rsidRDefault="006C7CFC" w:rsidP="006C7CFC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DM.13b  </w:t>
            </w:r>
            <w:r w:rsidRPr="000D5C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student will apply the formulas of combinatorics in the areas of knapsack and bin-packing problems; </w:t>
            </w:r>
          </w:p>
        </w:tc>
        <w:tc>
          <w:tcPr>
            <w:tcW w:w="1179" w:type="dxa"/>
            <w:vAlign w:val="center"/>
          </w:tcPr>
          <w:p w:rsidR="006C7CFC" w:rsidRPr="00507E58" w:rsidRDefault="006C7CFC" w:rsidP="00E55D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6" w:type="dxa"/>
          </w:tcPr>
          <w:p w:rsidR="006C7CFC" w:rsidRDefault="006C7CFC" w:rsidP="00E55DC0">
            <w:pPr>
              <w:jc w:val="center"/>
            </w:pPr>
          </w:p>
        </w:tc>
        <w:tc>
          <w:tcPr>
            <w:tcW w:w="6355" w:type="dxa"/>
            <w:vAlign w:val="center"/>
          </w:tcPr>
          <w:p w:rsidR="006C7CFC" w:rsidRPr="00507E58" w:rsidRDefault="006C7CFC" w:rsidP="00E55DC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C7CFC" w:rsidRPr="00507E58" w:rsidTr="006C7CFC">
        <w:trPr>
          <w:jc w:val="center"/>
        </w:trPr>
        <w:tc>
          <w:tcPr>
            <w:tcW w:w="9375" w:type="dxa"/>
            <w:vAlign w:val="bottom"/>
          </w:tcPr>
          <w:p w:rsidR="006C7CFC" w:rsidRDefault="006C7CFC" w:rsidP="006C7CFC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DM.13c  </w:t>
            </w:r>
            <w:r w:rsidRPr="000D5C53">
              <w:rPr>
                <w:rFonts w:ascii="Calibri" w:hAnsi="Calibri" w:cs="Calibri"/>
                <w:color w:val="000000"/>
                <w:sz w:val="22"/>
                <w:szCs w:val="22"/>
              </w:rPr>
              <w:t>The student will apply the formulas of combinatorics in the areas of permutations and combinations; and</w:t>
            </w:r>
          </w:p>
        </w:tc>
        <w:tc>
          <w:tcPr>
            <w:tcW w:w="1179" w:type="dxa"/>
            <w:vAlign w:val="center"/>
          </w:tcPr>
          <w:p w:rsidR="006C7CFC" w:rsidRPr="00507E58" w:rsidRDefault="006C7CFC" w:rsidP="00E55DC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6" w:type="dxa"/>
          </w:tcPr>
          <w:p w:rsidR="006C7CFC" w:rsidRDefault="006C7CFC" w:rsidP="00E55DC0">
            <w:pPr>
              <w:jc w:val="center"/>
            </w:pPr>
          </w:p>
        </w:tc>
        <w:tc>
          <w:tcPr>
            <w:tcW w:w="6355" w:type="dxa"/>
            <w:vAlign w:val="center"/>
          </w:tcPr>
          <w:p w:rsidR="006C7CFC" w:rsidRPr="00507E58" w:rsidRDefault="006C7CFC" w:rsidP="00E55DC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C7CFC" w:rsidRPr="00507E58" w:rsidTr="006C7CFC">
        <w:trPr>
          <w:jc w:val="center"/>
        </w:trPr>
        <w:tc>
          <w:tcPr>
            <w:tcW w:w="9375" w:type="dxa"/>
            <w:vAlign w:val="bottom"/>
          </w:tcPr>
          <w:p w:rsidR="006C7CFC" w:rsidRDefault="006C7CFC" w:rsidP="006C7CFC">
            <w:pPr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DM.13d  </w:t>
            </w:r>
            <w:r w:rsidRPr="000D5C53"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gramEnd"/>
            <w:r w:rsidRPr="000D5C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 will apply the formulas of combinatorics in the areas of the pigeonhole principle.</w:t>
            </w:r>
          </w:p>
        </w:tc>
        <w:tc>
          <w:tcPr>
            <w:tcW w:w="1179" w:type="dxa"/>
            <w:vAlign w:val="center"/>
          </w:tcPr>
          <w:p w:rsidR="006C7CFC" w:rsidRPr="00507E58" w:rsidRDefault="006C7CFC" w:rsidP="00E55DC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6" w:type="dxa"/>
          </w:tcPr>
          <w:p w:rsidR="006C7CFC" w:rsidRDefault="006C7CFC" w:rsidP="00E55DC0">
            <w:pPr>
              <w:jc w:val="center"/>
            </w:pPr>
          </w:p>
        </w:tc>
        <w:tc>
          <w:tcPr>
            <w:tcW w:w="6355" w:type="dxa"/>
            <w:vAlign w:val="center"/>
          </w:tcPr>
          <w:p w:rsidR="006C7CFC" w:rsidRPr="00507E58" w:rsidRDefault="006C7CFC" w:rsidP="00E55DC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C16BF8" w:rsidRPr="00507E58" w:rsidRDefault="00C16BF8" w:rsidP="00AE44D2">
      <w:pPr>
        <w:jc w:val="center"/>
        <w:rPr>
          <w:rFonts w:asciiTheme="minorHAnsi" w:hAnsiTheme="minorHAnsi" w:cstheme="minorHAnsi"/>
          <w:b/>
          <w:bCs/>
          <w:color w:val="000000"/>
        </w:rPr>
      </w:pPr>
    </w:p>
    <w:sectPr w:rsidR="00C16BF8" w:rsidRPr="00507E58" w:rsidSect="00AE44D2">
      <w:footerReference w:type="default" r:id="rId6"/>
      <w:pgSz w:w="20160" w:h="12240" w:orient="landscape" w:code="5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01E" w:rsidRDefault="00E9301E" w:rsidP="008F6058">
      <w:r>
        <w:separator/>
      </w:r>
    </w:p>
  </w:endnote>
  <w:endnote w:type="continuationSeparator" w:id="0">
    <w:p w:rsidR="00E9301E" w:rsidRDefault="00E9301E" w:rsidP="008F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341" w:rsidRPr="00AE44D2" w:rsidRDefault="00E07341" w:rsidP="00AE44D2">
    <w:pPr>
      <w:pStyle w:val="Footer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Virginia Department of Education</w:t>
    </w:r>
    <w:r w:rsidR="006D0C5A">
      <w:rPr>
        <w:rFonts w:asciiTheme="minorHAnsi" w:hAnsiTheme="minorHAnsi" w:cstheme="minorHAnsi"/>
      </w:rPr>
      <w:t xml:space="preserve"> </w:t>
    </w:r>
    <w:r w:rsidR="006C7CFC">
      <w:rPr>
        <w:rFonts w:asciiTheme="minorHAnsi" w:hAnsiTheme="minorHAnsi" w:cstheme="minorHAnsi"/>
      </w:rPr>
      <w:t>–</w:t>
    </w:r>
    <w:r w:rsidR="006D0C5A">
      <w:rPr>
        <w:rFonts w:asciiTheme="minorHAnsi" w:hAnsiTheme="minorHAnsi" w:cstheme="minorHAnsi"/>
      </w:rPr>
      <w:t xml:space="preserve"> </w:t>
    </w:r>
    <w:r w:rsidR="00470DCE">
      <w:rPr>
        <w:rFonts w:asciiTheme="minorHAnsi" w:hAnsiTheme="minorHAnsi" w:cstheme="minorHAnsi"/>
      </w:rPr>
      <w:t>November</w:t>
    </w:r>
    <w:r w:rsidR="006C7CFC">
      <w:rPr>
        <w:rFonts w:asciiTheme="minorHAnsi" w:hAnsiTheme="minorHAnsi" w:cstheme="minorHAnsi"/>
      </w:rPr>
      <w:t xml:space="preserve"> 202</w:t>
    </w:r>
    <w:r w:rsidR="00470DCE">
      <w:rPr>
        <w:rFonts w:asciiTheme="minorHAnsi" w:hAnsiTheme="minorHAnsi" w:cstheme="minorHAnsi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01E" w:rsidRDefault="00E9301E" w:rsidP="008F6058">
      <w:r>
        <w:separator/>
      </w:r>
    </w:p>
  </w:footnote>
  <w:footnote w:type="continuationSeparator" w:id="0">
    <w:p w:rsidR="00E9301E" w:rsidRDefault="00E9301E" w:rsidP="008F6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58"/>
    <w:rsid w:val="00083AA5"/>
    <w:rsid w:val="000D5C53"/>
    <w:rsid w:val="00144010"/>
    <w:rsid w:val="00174B62"/>
    <w:rsid w:val="001805A8"/>
    <w:rsid w:val="00183D6C"/>
    <w:rsid w:val="0028212F"/>
    <w:rsid w:val="002C2C1C"/>
    <w:rsid w:val="00342887"/>
    <w:rsid w:val="00401246"/>
    <w:rsid w:val="00423767"/>
    <w:rsid w:val="00435F7E"/>
    <w:rsid w:val="00460D72"/>
    <w:rsid w:val="00470DCE"/>
    <w:rsid w:val="0048318E"/>
    <w:rsid w:val="004E31C2"/>
    <w:rsid w:val="004E468E"/>
    <w:rsid w:val="00507E58"/>
    <w:rsid w:val="0052420B"/>
    <w:rsid w:val="00560450"/>
    <w:rsid w:val="005B073B"/>
    <w:rsid w:val="005B5092"/>
    <w:rsid w:val="005C6B2C"/>
    <w:rsid w:val="00687B87"/>
    <w:rsid w:val="006A1B9A"/>
    <w:rsid w:val="006C7CFC"/>
    <w:rsid w:val="006D0C5A"/>
    <w:rsid w:val="006F11F4"/>
    <w:rsid w:val="00727451"/>
    <w:rsid w:val="0077116C"/>
    <w:rsid w:val="007E39EB"/>
    <w:rsid w:val="00804EAB"/>
    <w:rsid w:val="00820179"/>
    <w:rsid w:val="008A20B9"/>
    <w:rsid w:val="008E76E3"/>
    <w:rsid w:val="008F6058"/>
    <w:rsid w:val="00916949"/>
    <w:rsid w:val="0092349C"/>
    <w:rsid w:val="00991CE5"/>
    <w:rsid w:val="00993BE2"/>
    <w:rsid w:val="009C17E2"/>
    <w:rsid w:val="00AC6D70"/>
    <w:rsid w:val="00AE44D2"/>
    <w:rsid w:val="00B05C3D"/>
    <w:rsid w:val="00B375FB"/>
    <w:rsid w:val="00BB3BC8"/>
    <w:rsid w:val="00C06571"/>
    <w:rsid w:val="00C16BF8"/>
    <w:rsid w:val="00C260BC"/>
    <w:rsid w:val="00C43ABD"/>
    <w:rsid w:val="00C475A2"/>
    <w:rsid w:val="00C51CB8"/>
    <w:rsid w:val="00D20027"/>
    <w:rsid w:val="00D3435E"/>
    <w:rsid w:val="00D40AA8"/>
    <w:rsid w:val="00D52AF1"/>
    <w:rsid w:val="00E07341"/>
    <w:rsid w:val="00E25224"/>
    <w:rsid w:val="00E55DC0"/>
    <w:rsid w:val="00E75953"/>
    <w:rsid w:val="00E9301E"/>
    <w:rsid w:val="00EE67AF"/>
    <w:rsid w:val="00F0487F"/>
    <w:rsid w:val="00F232A0"/>
    <w:rsid w:val="00F73C31"/>
    <w:rsid w:val="00F876FE"/>
    <w:rsid w:val="00FA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27666"/>
  <w15:chartTrackingRefBased/>
  <w15:docId w15:val="{C041B3F8-0953-4DEB-9426-C17EB9AC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6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058"/>
  </w:style>
  <w:style w:type="paragraph" w:styleId="Footer">
    <w:name w:val="footer"/>
    <w:basedOn w:val="Normal"/>
    <w:link w:val="FooterChar"/>
    <w:uiPriority w:val="99"/>
    <w:unhideWhenUsed/>
    <w:rsid w:val="008F6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058"/>
  </w:style>
  <w:style w:type="character" w:styleId="Hyperlink">
    <w:name w:val="Hyperlink"/>
    <w:basedOn w:val="DefaultParagraphFont"/>
    <w:uiPriority w:val="99"/>
    <w:unhideWhenUsed/>
    <w:rsid w:val="00BB3B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39E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212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aragraph">
    <w:name w:val="Paragraph"/>
    <w:basedOn w:val="Normal"/>
    <w:next w:val="Normal"/>
    <w:link w:val="ParagraphChar"/>
    <w:rsid w:val="0048318E"/>
    <w:pPr>
      <w:spacing w:after="100"/>
      <w:jc w:val="both"/>
    </w:pPr>
    <w:rPr>
      <w:rFonts w:eastAsia="Times"/>
      <w:sz w:val="22"/>
    </w:rPr>
  </w:style>
  <w:style w:type="character" w:customStyle="1" w:styleId="ParagraphChar">
    <w:name w:val="Paragraph Char"/>
    <w:link w:val="Paragraph"/>
    <w:rsid w:val="0048318E"/>
    <w:rPr>
      <w:rFonts w:eastAsia="Times"/>
      <w:sz w:val="22"/>
    </w:rPr>
  </w:style>
  <w:style w:type="paragraph" w:customStyle="1" w:styleId="SOLNumber">
    <w:name w:val="SOL Number"/>
    <w:basedOn w:val="Normal"/>
    <w:next w:val="Normal"/>
    <w:link w:val="SOLNumberChar"/>
    <w:rsid w:val="0048318E"/>
    <w:pPr>
      <w:keepLines/>
      <w:spacing w:before="100"/>
      <w:ind w:left="907" w:hanging="907"/>
    </w:pPr>
    <w:rPr>
      <w:rFonts w:eastAsia="Times"/>
      <w:sz w:val="22"/>
      <w:szCs w:val="22"/>
    </w:rPr>
  </w:style>
  <w:style w:type="character" w:customStyle="1" w:styleId="SOLNumberChar">
    <w:name w:val="SOL Number Char"/>
    <w:link w:val="SOLNumber"/>
    <w:rsid w:val="0048318E"/>
    <w:rPr>
      <w:rFonts w:eastAsia="Time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Mazzacane, Tina (DOE)</dc:creator>
  <cp:keywords/>
  <dc:description/>
  <cp:lastModifiedBy>Jessica Brown</cp:lastModifiedBy>
  <cp:revision>2</cp:revision>
  <dcterms:created xsi:type="dcterms:W3CDTF">2022-11-22T02:46:00Z</dcterms:created>
  <dcterms:modified xsi:type="dcterms:W3CDTF">2022-11-22T02:46:00Z</dcterms:modified>
</cp:coreProperties>
</file>