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01" w:rsidRPr="00905413" w:rsidRDefault="00731C01" w:rsidP="00731C01">
      <w:pPr>
        <w:spacing w:line="240" w:lineRule="auto"/>
        <w:jc w:val="center"/>
        <w:rPr>
          <w:rFonts w:ascii="Times New Roman" w:hAnsi="Times New Roman" w:cs="Times New Roman"/>
          <w:szCs w:val="24"/>
        </w:rPr>
      </w:pPr>
      <w:bookmarkStart w:id="0" w:name="_GoBack"/>
      <w:bookmarkEnd w:id="0"/>
      <w:r w:rsidRPr="00905413">
        <w:rPr>
          <w:rFonts w:ascii="Times New Roman" w:hAnsi="Times New Roman" w:cs="Times New Roman"/>
          <w:szCs w:val="24"/>
        </w:rPr>
        <w:t>Department of Education</w:t>
      </w:r>
    </w:p>
    <w:p w:rsidR="00731C01" w:rsidRPr="00905413" w:rsidRDefault="00731C01" w:rsidP="00731C01">
      <w:pPr>
        <w:spacing w:line="240" w:lineRule="auto"/>
        <w:jc w:val="center"/>
        <w:rPr>
          <w:rFonts w:ascii="Times New Roman" w:hAnsi="Times New Roman" w:cs="Times New Roman"/>
          <w:szCs w:val="24"/>
        </w:rPr>
      </w:pPr>
      <w:r w:rsidRPr="00905413">
        <w:rPr>
          <w:rFonts w:ascii="Times New Roman" w:hAnsi="Times New Roman" w:cs="Times New Roman"/>
          <w:szCs w:val="24"/>
        </w:rPr>
        <w:t>P. O. Box 2120</w:t>
      </w:r>
    </w:p>
    <w:p w:rsidR="00731C01" w:rsidRPr="00905413" w:rsidRDefault="00731C01" w:rsidP="00731C01">
      <w:pPr>
        <w:spacing w:line="240" w:lineRule="auto"/>
        <w:jc w:val="center"/>
        <w:rPr>
          <w:rFonts w:ascii="Times New Roman" w:hAnsi="Times New Roman" w:cs="Times New Roman"/>
          <w:szCs w:val="24"/>
        </w:rPr>
      </w:pPr>
      <w:r w:rsidRPr="00905413">
        <w:rPr>
          <w:rFonts w:ascii="Times New Roman" w:hAnsi="Times New Roman" w:cs="Times New Roman"/>
          <w:szCs w:val="24"/>
        </w:rPr>
        <w:t>Richmond, Virginia 23216-2120</w:t>
      </w:r>
    </w:p>
    <w:p w:rsidR="00731C01" w:rsidRPr="00905413" w:rsidRDefault="00731C01" w:rsidP="00731C01">
      <w:pPr>
        <w:spacing w:line="240" w:lineRule="auto"/>
        <w:jc w:val="center"/>
        <w:rPr>
          <w:rFonts w:ascii="Times New Roman" w:hAnsi="Times New Roman" w:cs="Times New Roman"/>
          <w:szCs w:val="24"/>
        </w:rPr>
      </w:pPr>
    </w:p>
    <w:p w:rsidR="00731C01" w:rsidRPr="00905413" w:rsidRDefault="00731C01" w:rsidP="00731C01">
      <w:pPr>
        <w:pStyle w:val="Heading1"/>
      </w:pPr>
      <w:r w:rsidRPr="00905413">
        <w:t xml:space="preserve">CAREER AND </w:t>
      </w:r>
      <w:r>
        <w:t xml:space="preserve">TECHNCIAL EDUCATION MEMO NO. </w:t>
      </w:r>
      <w:r w:rsidR="00C465C7">
        <w:t>146-19</w:t>
      </w:r>
    </w:p>
    <w:p w:rsidR="00731C01" w:rsidRPr="00905413" w:rsidRDefault="00731C01" w:rsidP="00731C01">
      <w:pPr>
        <w:spacing w:line="240" w:lineRule="auto"/>
        <w:jc w:val="center"/>
        <w:rPr>
          <w:rFonts w:ascii="Times New Roman" w:hAnsi="Times New Roman" w:cs="Times New Roman"/>
          <w:szCs w:val="24"/>
          <w:u w:val="single"/>
        </w:rPr>
      </w:pPr>
    </w:p>
    <w:p w:rsidR="00731C01" w:rsidRPr="00905413" w:rsidRDefault="00731C01" w:rsidP="00731C01">
      <w:pPr>
        <w:spacing w:line="240" w:lineRule="auto"/>
        <w:jc w:val="center"/>
        <w:rPr>
          <w:rFonts w:ascii="Times New Roman" w:hAnsi="Times New Roman" w:cs="Times New Roman"/>
          <w:szCs w:val="24"/>
          <w:u w:val="single"/>
        </w:rPr>
      </w:pPr>
    </w:p>
    <w:p w:rsidR="006E48BF" w:rsidRPr="00731C01" w:rsidRDefault="006E48BF" w:rsidP="006E48BF">
      <w:pPr>
        <w:pStyle w:val="NormalWeb"/>
        <w:spacing w:before="0" w:beforeAutospacing="0" w:after="0" w:afterAutospacing="0"/>
        <w:rPr>
          <w:b/>
        </w:rPr>
      </w:pPr>
      <w:r w:rsidRPr="00731C01">
        <w:rPr>
          <w:b/>
        </w:rPr>
        <w:t>DATE:</w:t>
      </w:r>
      <w:r w:rsidRPr="00731C01">
        <w:tab/>
      </w:r>
      <w:r w:rsidR="00C83584">
        <w:t>September 27, 2019</w:t>
      </w:r>
    </w:p>
    <w:p w:rsidR="006E48BF" w:rsidRPr="00731C01" w:rsidRDefault="006E48BF" w:rsidP="006E48BF">
      <w:pPr>
        <w:pStyle w:val="NormalWeb"/>
        <w:spacing w:before="0" w:beforeAutospacing="0" w:after="0" w:afterAutospacing="0"/>
      </w:pPr>
    </w:p>
    <w:p w:rsidR="006E48BF" w:rsidRPr="00731C01" w:rsidRDefault="006E48BF" w:rsidP="006E48BF">
      <w:pPr>
        <w:pStyle w:val="NormalWeb"/>
        <w:spacing w:before="0" w:beforeAutospacing="0" w:after="0" w:afterAutospacing="0"/>
      </w:pPr>
      <w:r w:rsidRPr="00731C01">
        <w:rPr>
          <w:b/>
        </w:rPr>
        <w:t>TO:</w:t>
      </w:r>
      <w:r w:rsidRPr="00731C01">
        <w:t xml:space="preserve"> </w:t>
      </w:r>
      <w:r w:rsidRPr="00731C01">
        <w:tab/>
      </w:r>
      <w:r w:rsidRPr="00731C01">
        <w:tab/>
        <w:t>CTE Administrators</w:t>
      </w:r>
    </w:p>
    <w:p w:rsidR="006E48BF" w:rsidRPr="00731C01" w:rsidRDefault="006E48BF" w:rsidP="006E48BF">
      <w:pPr>
        <w:pStyle w:val="NormalWeb"/>
        <w:spacing w:before="0" w:beforeAutospacing="0" w:after="0" w:afterAutospacing="0"/>
      </w:pPr>
    </w:p>
    <w:p w:rsidR="006E48BF" w:rsidRPr="00731C01" w:rsidRDefault="006E48BF" w:rsidP="006E48BF">
      <w:pPr>
        <w:pStyle w:val="NormalWeb"/>
        <w:spacing w:before="0" w:beforeAutospacing="0" w:after="0" w:afterAutospacing="0"/>
      </w:pPr>
      <w:r w:rsidRPr="00731C01">
        <w:rPr>
          <w:b/>
        </w:rPr>
        <w:t>FROM:</w:t>
      </w:r>
      <w:r w:rsidRPr="00731C01">
        <w:t xml:space="preserve"> </w:t>
      </w:r>
      <w:r w:rsidRPr="00731C01">
        <w:tab/>
      </w:r>
      <w:r w:rsidR="00731C01">
        <w:t>George R. Willcox</w:t>
      </w:r>
      <w:r w:rsidRPr="00731C01">
        <w:t xml:space="preserve">, </w:t>
      </w:r>
      <w:r w:rsidR="00C83584">
        <w:t xml:space="preserve">Director, </w:t>
      </w:r>
      <w:r w:rsidR="006E0877">
        <w:t>Operations and Accountability</w:t>
      </w:r>
    </w:p>
    <w:p w:rsidR="006E48BF" w:rsidRPr="00731C01" w:rsidRDefault="006E48BF" w:rsidP="006E48BF">
      <w:pPr>
        <w:pStyle w:val="NormalWeb"/>
        <w:spacing w:before="0" w:beforeAutospacing="0" w:after="0" w:afterAutospacing="0"/>
      </w:pPr>
      <w:r w:rsidRPr="00731C01">
        <w:tab/>
      </w:r>
      <w:r w:rsidRPr="00731C01">
        <w:tab/>
        <w:t>Office of Career</w:t>
      </w:r>
      <w:r w:rsidR="00B45BBC">
        <w:t>, Technical, and Adult Education</w:t>
      </w:r>
    </w:p>
    <w:p w:rsidR="006E48BF" w:rsidRPr="00731C01" w:rsidRDefault="006E48BF" w:rsidP="006E48BF">
      <w:pPr>
        <w:pStyle w:val="NormalWeb"/>
        <w:spacing w:before="0" w:beforeAutospacing="0" w:after="0" w:afterAutospacing="0"/>
      </w:pPr>
    </w:p>
    <w:p w:rsidR="00D30697" w:rsidRPr="00FE13FE" w:rsidRDefault="006E48BF" w:rsidP="00FE13FE">
      <w:pPr>
        <w:pStyle w:val="Heading2"/>
      </w:pPr>
      <w:r w:rsidRPr="00FE13FE">
        <w:t>SUBJECT:</w:t>
      </w:r>
      <w:r w:rsidRPr="00FE13FE">
        <w:tab/>
      </w:r>
      <w:r w:rsidR="00C83584">
        <w:t xml:space="preserve">Perkins </w:t>
      </w:r>
      <w:r w:rsidR="006E0877">
        <w:t>V State Negotiated Levels of Performance for 201</w:t>
      </w:r>
      <w:r w:rsidR="00C83584">
        <w:t>9</w:t>
      </w:r>
      <w:r w:rsidR="006E0877">
        <w:t>-20</w:t>
      </w:r>
      <w:r w:rsidR="00C83584">
        <w:t>20</w:t>
      </w:r>
    </w:p>
    <w:p w:rsidR="00765C68" w:rsidRPr="00731C01" w:rsidRDefault="00765C68" w:rsidP="00765C68">
      <w:pPr>
        <w:rPr>
          <w:rFonts w:ascii="Times New Roman" w:hAnsi="Times New Roman" w:cs="Times New Roman"/>
          <w:szCs w:val="24"/>
        </w:rPr>
      </w:pPr>
    </w:p>
    <w:p w:rsidR="006E0877" w:rsidRPr="003A363C" w:rsidRDefault="000A4FCD" w:rsidP="006E0877">
      <w:pPr>
        <w:snapToGrid w:val="0"/>
        <w:spacing w:line="240" w:lineRule="auto"/>
        <w:rPr>
          <w:rFonts w:ascii="Times New Roman" w:hAnsi="Times New Roman" w:cs="Times New Roman"/>
        </w:rPr>
      </w:pPr>
      <w:r>
        <w:rPr>
          <w:rFonts w:ascii="Times New Roman" w:hAnsi="Times New Roman" w:cs="Times New Roman"/>
        </w:rPr>
        <w:t xml:space="preserve">During the 2019-2020 Perkins V transition year, the 2018-2019 Perkins IV state levels </w:t>
      </w:r>
      <w:r w:rsidR="00792931">
        <w:rPr>
          <w:rFonts w:ascii="Times New Roman" w:hAnsi="Times New Roman" w:cs="Times New Roman"/>
        </w:rPr>
        <w:t>o</w:t>
      </w:r>
      <w:r>
        <w:rPr>
          <w:rFonts w:ascii="Times New Roman" w:hAnsi="Times New Roman" w:cs="Times New Roman"/>
        </w:rPr>
        <w:t xml:space="preserve">f performance </w:t>
      </w:r>
      <w:r w:rsidR="006E0877" w:rsidRPr="003A363C">
        <w:rPr>
          <w:rFonts w:ascii="Times New Roman" w:hAnsi="Times New Roman" w:cs="Times New Roman"/>
        </w:rPr>
        <w:t xml:space="preserve">for the core indicators in career and technical education </w:t>
      </w:r>
      <w:r w:rsidR="006E0877">
        <w:rPr>
          <w:rFonts w:ascii="Times New Roman" w:hAnsi="Times New Roman" w:cs="Times New Roman"/>
        </w:rPr>
        <w:t>(</w:t>
      </w:r>
      <w:r w:rsidR="006E0877" w:rsidRPr="003A363C">
        <w:rPr>
          <w:rFonts w:ascii="Times New Roman" w:hAnsi="Times New Roman" w:cs="Times New Roman"/>
        </w:rPr>
        <w:t>CTE</w:t>
      </w:r>
      <w:r w:rsidR="006E0877">
        <w:rPr>
          <w:rFonts w:ascii="Times New Roman" w:hAnsi="Times New Roman" w:cs="Times New Roman"/>
        </w:rPr>
        <w:t>)</w:t>
      </w:r>
      <w:r w:rsidR="006E0877" w:rsidRPr="003A363C">
        <w:rPr>
          <w:rFonts w:ascii="Times New Roman" w:hAnsi="Times New Roman" w:cs="Times New Roman"/>
        </w:rPr>
        <w:t xml:space="preserve"> programs</w:t>
      </w:r>
      <w:r>
        <w:rPr>
          <w:rFonts w:ascii="Times New Roman" w:hAnsi="Times New Roman" w:cs="Times New Roman"/>
        </w:rPr>
        <w:t xml:space="preserve"> will remain the same</w:t>
      </w:r>
      <w:r w:rsidR="006E0877" w:rsidRPr="003A363C">
        <w:rPr>
          <w:rFonts w:ascii="Times New Roman" w:hAnsi="Times New Roman" w:cs="Times New Roman"/>
        </w:rPr>
        <w:t>.</w:t>
      </w:r>
      <w:r w:rsidR="00792931">
        <w:rPr>
          <w:rFonts w:ascii="Times New Roman" w:hAnsi="Times New Roman" w:cs="Times New Roman"/>
        </w:rPr>
        <w:t xml:space="preserve">  The following pages contain: </w:t>
      </w:r>
      <w:r w:rsidR="006E0877" w:rsidRPr="003A363C">
        <w:rPr>
          <w:rFonts w:ascii="Times New Roman" w:hAnsi="Times New Roman" w:cs="Times New Roman"/>
        </w:rPr>
        <w:t>(1) list of core indicators, state negotiated levels of performance for program year 201</w:t>
      </w:r>
      <w:r>
        <w:rPr>
          <w:rFonts w:ascii="Times New Roman" w:hAnsi="Times New Roman" w:cs="Times New Roman"/>
        </w:rPr>
        <w:t>9</w:t>
      </w:r>
      <w:r w:rsidR="006E0877" w:rsidRPr="003A363C">
        <w:rPr>
          <w:rFonts w:ascii="Times New Roman" w:hAnsi="Times New Roman" w:cs="Times New Roman"/>
        </w:rPr>
        <w:t>-20</w:t>
      </w:r>
      <w:r>
        <w:rPr>
          <w:rFonts w:ascii="Times New Roman" w:hAnsi="Times New Roman" w:cs="Times New Roman"/>
        </w:rPr>
        <w:t>20</w:t>
      </w:r>
      <w:r w:rsidR="006E0877" w:rsidRPr="003A363C">
        <w:rPr>
          <w:rFonts w:ascii="Times New Roman" w:hAnsi="Times New Roman" w:cs="Times New Roman"/>
        </w:rPr>
        <w:t>, and the data collection sources; (2) the performance measures and data definitions; and (3) common terms and definitions associated with the Perkins IV Performance Standards and Measures Accountability System for Virginia.</w:t>
      </w:r>
    </w:p>
    <w:p w:rsidR="006E0877" w:rsidRPr="003A363C" w:rsidRDefault="006E0877" w:rsidP="006E0877">
      <w:pPr>
        <w:snapToGrid w:val="0"/>
        <w:spacing w:line="240" w:lineRule="auto"/>
        <w:rPr>
          <w:rFonts w:ascii="Times New Roman" w:hAnsi="Times New Roman" w:cs="Times New Roman"/>
        </w:rPr>
      </w:pPr>
    </w:p>
    <w:p w:rsidR="006E0877" w:rsidRPr="003A363C" w:rsidRDefault="006E0877" w:rsidP="006E0877">
      <w:pPr>
        <w:spacing w:line="240" w:lineRule="auto"/>
        <w:rPr>
          <w:rFonts w:ascii="Times New Roman" w:hAnsi="Times New Roman" w:cs="Times New Roman"/>
        </w:rPr>
      </w:pPr>
      <w:r w:rsidRPr="003A363C">
        <w:rPr>
          <w:rFonts w:ascii="Times New Roman" w:hAnsi="Times New Roman" w:cs="Times New Roman"/>
        </w:rPr>
        <w:t xml:space="preserve">If you have </w:t>
      </w:r>
      <w:r>
        <w:rPr>
          <w:rFonts w:ascii="Times New Roman" w:hAnsi="Times New Roman" w:cs="Times New Roman"/>
        </w:rPr>
        <w:t xml:space="preserve">any </w:t>
      </w:r>
      <w:r w:rsidRPr="003A363C">
        <w:rPr>
          <w:rFonts w:ascii="Times New Roman" w:hAnsi="Times New Roman" w:cs="Times New Roman"/>
        </w:rPr>
        <w:t xml:space="preserve">questions, please contact the </w:t>
      </w:r>
      <w:r>
        <w:rPr>
          <w:rFonts w:ascii="Times New Roman" w:hAnsi="Times New Roman" w:cs="Times New Roman"/>
        </w:rPr>
        <w:t>CTE staff at</w:t>
      </w:r>
      <w:r w:rsidRPr="003A363C">
        <w:rPr>
          <w:rFonts w:ascii="Times New Roman" w:hAnsi="Times New Roman" w:cs="Times New Roman"/>
        </w:rPr>
        <w:t xml:space="preserve"> </w:t>
      </w:r>
      <w:hyperlink r:id="rId7" w:history="1">
        <w:r w:rsidRPr="003A363C">
          <w:rPr>
            <w:rStyle w:val="Hyperlink"/>
            <w:rFonts w:ascii="Times New Roman" w:hAnsi="Times New Roman" w:cs="Times New Roman"/>
          </w:rPr>
          <w:t>CTE@doe.virginia.gov</w:t>
        </w:r>
      </w:hyperlink>
      <w:r>
        <w:rPr>
          <w:rFonts w:ascii="Times New Roman" w:hAnsi="Times New Roman" w:cs="Times New Roman"/>
        </w:rPr>
        <w:t xml:space="preserve"> or by telephone at (804) </w:t>
      </w:r>
      <w:r w:rsidR="006F03C7">
        <w:rPr>
          <w:rFonts w:ascii="Times New Roman" w:hAnsi="Times New Roman" w:cs="Times New Roman"/>
        </w:rPr>
        <w:t>786-4206.</w:t>
      </w:r>
    </w:p>
    <w:p w:rsidR="006E0877" w:rsidRPr="003A363C" w:rsidRDefault="006E0877" w:rsidP="006E0877">
      <w:pPr>
        <w:spacing w:line="240" w:lineRule="auto"/>
        <w:rPr>
          <w:rFonts w:ascii="Times New Roman" w:hAnsi="Times New Roman" w:cs="Times New Roman"/>
        </w:rPr>
      </w:pPr>
    </w:p>
    <w:p w:rsidR="006E0877" w:rsidRPr="003A363C" w:rsidRDefault="006E0877" w:rsidP="006E0877">
      <w:pPr>
        <w:spacing w:line="240" w:lineRule="auto"/>
        <w:rPr>
          <w:rFonts w:ascii="Times New Roman" w:hAnsi="Times New Roman" w:cs="Times New Roman"/>
        </w:rPr>
      </w:pPr>
      <w:r>
        <w:rPr>
          <w:rFonts w:ascii="Times New Roman" w:hAnsi="Times New Roman" w:cs="Times New Roman"/>
        </w:rPr>
        <w:t>GRW/</w:t>
      </w:r>
      <w:r w:rsidR="00C83584">
        <w:rPr>
          <w:rFonts w:ascii="Times New Roman" w:hAnsi="Times New Roman" w:cs="Times New Roman"/>
        </w:rPr>
        <w:t>aab</w:t>
      </w:r>
    </w:p>
    <w:p w:rsidR="006E0877" w:rsidRPr="003A363C" w:rsidRDefault="006E0877" w:rsidP="006E0877">
      <w:pPr>
        <w:spacing w:line="240" w:lineRule="auto"/>
        <w:rPr>
          <w:rFonts w:ascii="Times New Roman" w:hAnsi="Times New Roman" w:cs="Times New Roman"/>
        </w:rPr>
      </w:pPr>
    </w:p>
    <w:p w:rsidR="00F31DB3" w:rsidRDefault="006E0877" w:rsidP="00F31DB3">
      <w:pPr>
        <w:spacing w:line="240" w:lineRule="auto"/>
        <w:rPr>
          <w:rFonts w:ascii="Times New Roman" w:hAnsi="Times New Roman" w:cs="Times New Roman"/>
        </w:rPr>
      </w:pPr>
      <w:r>
        <w:rPr>
          <w:rFonts w:ascii="Times New Roman" w:hAnsi="Times New Roman" w:cs="Times New Roman"/>
        </w:rPr>
        <w:t>Attachments</w:t>
      </w:r>
    </w:p>
    <w:p w:rsidR="00F31DB3" w:rsidRDefault="00F31DB3" w:rsidP="00F31DB3">
      <w:pPr>
        <w:spacing w:line="240" w:lineRule="auto"/>
        <w:rPr>
          <w:rFonts w:ascii="Times New Roman" w:hAnsi="Times New Roman" w:cs="Times New Roman"/>
          <w:szCs w:val="24"/>
        </w:rPr>
        <w:sectPr w:rsidR="00F31DB3" w:rsidSect="006F03C7">
          <w:footerReference w:type="default" r:id="rId8"/>
          <w:pgSz w:w="12240" w:h="15840"/>
          <w:pgMar w:top="1440" w:right="1440" w:bottom="1440" w:left="1440" w:header="720" w:footer="720" w:gutter="0"/>
          <w:cols w:space="720"/>
          <w:titlePg/>
          <w:docGrid w:linePitch="360"/>
        </w:sectPr>
      </w:pPr>
    </w:p>
    <w:p w:rsidR="006E0877" w:rsidRPr="00F31DB3" w:rsidRDefault="004F7371" w:rsidP="00F31DB3">
      <w:pPr>
        <w:pStyle w:val="Heading1"/>
        <w:rPr>
          <w:b w:val="0"/>
          <w:szCs w:val="28"/>
        </w:rPr>
      </w:pPr>
      <w:bookmarkStart w:id="1" w:name="_Toc269909083"/>
      <w:bookmarkStart w:id="2" w:name="_Toc330558989"/>
      <w:bookmarkStart w:id="3" w:name="_Toc430352467"/>
      <w:bookmarkStart w:id="4" w:name="_Toc453594143"/>
      <w:bookmarkStart w:id="5" w:name="_Toc462659409"/>
      <w:bookmarkStart w:id="6" w:name="_Toc520722424"/>
      <w:r>
        <w:rPr>
          <w:rStyle w:val="Heading1Char"/>
          <w:b/>
        </w:rPr>
        <w:lastRenderedPageBreak/>
        <w:t>Perkins</w:t>
      </w:r>
      <w:r w:rsidR="006E0877" w:rsidRPr="00F31DB3">
        <w:rPr>
          <w:rStyle w:val="Heading1Char"/>
          <w:b/>
        </w:rPr>
        <w:t xml:space="preserve"> Performance Measures </w:t>
      </w:r>
      <w:r w:rsidR="006F03C7" w:rsidRPr="00F31DB3">
        <w:rPr>
          <w:rStyle w:val="Heading1Char"/>
          <w:b/>
        </w:rPr>
        <w:br/>
      </w:r>
      <w:r w:rsidR="006E0877" w:rsidRPr="00F31DB3">
        <w:rPr>
          <w:rStyle w:val="Heading1Char"/>
          <w:b/>
        </w:rPr>
        <w:t>(201</w:t>
      </w:r>
      <w:r w:rsidR="000A4FCD">
        <w:rPr>
          <w:rStyle w:val="Heading1Char"/>
          <w:b/>
        </w:rPr>
        <w:t>9</w:t>
      </w:r>
      <w:r w:rsidR="006E0877" w:rsidRPr="00F31DB3">
        <w:rPr>
          <w:rStyle w:val="Heading1Char"/>
          <w:b/>
        </w:rPr>
        <w:t>-20</w:t>
      </w:r>
      <w:r w:rsidR="000A4FCD">
        <w:rPr>
          <w:rStyle w:val="Heading1Char"/>
          <w:b/>
        </w:rPr>
        <w:t>20</w:t>
      </w:r>
      <w:r w:rsidR="006E0877" w:rsidRPr="00F31DB3">
        <w:rPr>
          <w:rStyle w:val="Heading1Char"/>
          <w:b/>
        </w:rPr>
        <w:t xml:space="preserve"> Virginia </w:t>
      </w:r>
      <w:r w:rsidR="00792931" w:rsidRPr="00F31DB3">
        <w:rPr>
          <w:rStyle w:val="Heading1Char"/>
          <w:b/>
        </w:rPr>
        <w:t xml:space="preserve">Agreed-Upon </w:t>
      </w:r>
      <w:r w:rsidR="006E0877" w:rsidRPr="00F31DB3">
        <w:rPr>
          <w:rStyle w:val="Heading1Char"/>
          <w:b/>
        </w:rPr>
        <w:t>Performance Levels)</w:t>
      </w:r>
      <w:bookmarkEnd w:id="1"/>
      <w:bookmarkEnd w:id="2"/>
      <w:bookmarkEnd w:id="3"/>
      <w:bookmarkEnd w:id="4"/>
      <w:bookmarkEnd w:id="5"/>
      <w:bookmarkEnd w:id="6"/>
    </w:p>
    <w:p w:rsidR="006E0877" w:rsidRPr="006E0877" w:rsidRDefault="006E0877" w:rsidP="006E0877">
      <w:pPr>
        <w:rPr>
          <w:rFonts w:ascii="Times New Roman" w:hAnsi="Times New Roman" w:cs="Times New Roman"/>
          <w:szCs w:val="24"/>
        </w:rPr>
      </w:pPr>
    </w:p>
    <w:tbl>
      <w:tblPr>
        <w:tblStyle w:val="TableGrid1"/>
        <w:tblW w:w="10800" w:type="dxa"/>
        <w:tblInd w:w="-720" w:type="dxa"/>
        <w:tblLayout w:type="fixed"/>
        <w:tblLook w:val="0000" w:firstRow="0" w:lastRow="0" w:firstColumn="0" w:lastColumn="0" w:noHBand="0" w:noVBand="0"/>
        <w:tblDescription w:val="Table showing Perkins IV Performance Measures (2018-2019 Virginia Agreed-Upon Performance Levels)"/>
      </w:tblPr>
      <w:tblGrid>
        <w:gridCol w:w="1440"/>
        <w:gridCol w:w="4117"/>
        <w:gridCol w:w="1463"/>
        <w:gridCol w:w="3780"/>
      </w:tblGrid>
      <w:tr w:rsidR="006E0877" w:rsidRPr="006E0877" w:rsidTr="00F31DB3">
        <w:trPr>
          <w:trHeight w:val="414"/>
          <w:tblHeader/>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b/>
                <w:sz w:val="20"/>
                <w:szCs w:val="20"/>
              </w:rPr>
            </w:pPr>
            <w:r w:rsidRPr="006E0877">
              <w:rPr>
                <w:rFonts w:ascii="Times New Roman" w:hAnsi="Times New Roman" w:cs="Times New Roman"/>
                <w:b/>
                <w:sz w:val="20"/>
                <w:szCs w:val="20"/>
              </w:rPr>
              <w:t>Core Indicator</w:t>
            </w:r>
          </w:p>
          <w:p w:rsidR="006E0877" w:rsidRPr="006E0877" w:rsidRDefault="006E0877" w:rsidP="00F31DB3">
            <w:pPr>
              <w:snapToGrid w:val="0"/>
              <w:spacing w:after="200" w:line="276" w:lineRule="auto"/>
              <w:jc w:val="center"/>
              <w:rPr>
                <w:rFonts w:ascii="Times New Roman" w:hAnsi="Times New Roman" w:cs="Times New Roman"/>
                <w:b/>
                <w:sz w:val="20"/>
                <w:szCs w:val="20"/>
              </w:rPr>
            </w:pPr>
            <w:r w:rsidRPr="006E0877">
              <w:rPr>
                <w:rFonts w:ascii="Times New Roman" w:hAnsi="Times New Roman" w:cs="Times New Roman"/>
                <w:b/>
                <w:sz w:val="20"/>
                <w:szCs w:val="20"/>
              </w:rPr>
              <w:t>Code</w:t>
            </w:r>
          </w:p>
        </w:tc>
        <w:tc>
          <w:tcPr>
            <w:tcW w:w="4117" w:type="dxa"/>
            <w:vAlign w:val="center"/>
          </w:tcPr>
          <w:p w:rsidR="006E0877" w:rsidRPr="006E0877" w:rsidRDefault="006E0877" w:rsidP="00F31DB3">
            <w:pPr>
              <w:snapToGrid w:val="0"/>
              <w:spacing w:after="200" w:line="276" w:lineRule="auto"/>
              <w:jc w:val="center"/>
              <w:rPr>
                <w:rFonts w:ascii="Times New Roman" w:hAnsi="Times New Roman" w:cs="Times New Roman"/>
                <w:b/>
                <w:sz w:val="20"/>
                <w:szCs w:val="20"/>
              </w:rPr>
            </w:pPr>
            <w:r w:rsidRPr="006E0877">
              <w:rPr>
                <w:rFonts w:ascii="Times New Roman" w:hAnsi="Times New Roman" w:cs="Times New Roman"/>
                <w:b/>
                <w:sz w:val="20"/>
                <w:szCs w:val="20"/>
              </w:rPr>
              <w:t>Core Indicator of Performance</w:t>
            </w:r>
          </w:p>
        </w:tc>
        <w:tc>
          <w:tcPr>
            <w:tcW w:w="1463" w:type="dxa"/>
            <w:vAlign w:val="center"/>
          </w:tcPr>
          <w:p w:rsidR="00653532" w:rsidRPr="006E0877" w:rsidRDefault="00653532" w:rsidP="00653532">
            <w:pPr>
              <w:snapToGrid w:val="0"/>
              <w:spacing w:line="276" w:lineRule="auto"/>
              <w:jc w:val="center"/>
              <w:rPr>
                <w:rFonts w:ascii="Times New Roman" w:hAnsi="Times New Roman" w:cs="Times New Roman"/>
                <w:b/>
                <w:sz w:val="20"/>
                <w:szCs w:val="20"/>
              </w:rPr>
            </w:pPr>
            <w:r w:rsidRPr="006E0877">
              <w:rPr>
                <w:rFonts w:ascii="Times New Roman" w:hAnsi="Times New Roman" w:cs="Times New Roman"/>
                <w:b/>
                <w:sz w:val="20"/>
                <w:szCs w:val="20"/>
              </w:rPr>
              <w:t>State</w:t>
            </w:r>
          </w:p>
          <w:p w:rsidR="006E0877" w:rsidRPr="006E0877" w:rsidRDefault="00653532" w:rsidP="00653532">
            <w:pPr>
              <w:snapToGrid w:val="0"/>
              <w:spacing w:line="276" w:lineRule="auto"/>
              <w:jc w:val="center"/>
              <w:rPr>
                <w:rFonts w:ascii="Times New Roman" w:hAnsi="Times New Roman" w:cs="Times New Roman"/>
                <w:b/>
                <w:sz w:val="20"/>
                <w:szCs w:val="20"/>
              </w:rPr>
            </w:pPr>
            <w:r w:rsidRPr="006E0877">
              <w:rPr>
                <w:rFonts w:ascii="Times New Roman" w:hAnsi="Times New Roman" w:cs="Times New Roman"/>
                <w:b/>
                <w:sz w:val="20"/>
                <w:szCs w:val="20"/>
              </w:rPr>
              <w:t>Negotiated Level</w:t>
            </w:r>
            <w:r>
              <w:rPr>
                <w:rFonts w:ascii="Times New Roman" w:hAnsi="Times New Roman" w:cs="Times New Roman"/>
                <w:b/>
                <w:sz w:val="20"/>
                <w:szCs w:val="20"/>
              </w:rPr>
              <w:t>s</w:t>
            </w:r>
            <w:r w:rsidRPr="006E0877">
              <w:rPr>
                <w:rFonts w:ascii="Times New Roman" w:hAnsi="Times New Roman" w:cs="Times New Roman"/>
                <w:b/>
                <w:sz w:val="20"/>
                <w:szCs w:val="20"/>
              </w:rPr>
              <w:t xml:space="preserve"> of</w:t>
            </w:r>
            <w:r>
              <w:rPr>
                <w:rFonts w:ascii="Times New Roman" w:hAnsi="Times New Roman" w:cs="Times New Roman"/>
                <w:b/>
                <w:sz w:val="20"/>
                <w:szCs w:val="20"/>
              </w:rPr>
              <w:t xml:space="preserve"> Performance</w:t>
            </w:r>
            <w:r w:rsidR="006E0877" w:rsidRPr="006E0877">
              <w:rPr>
                <w:rFonts w:ascii="Times New Roman" w:hAnsi="Times New Roman" w:cs="Times New Roman"/>
                <w:b/>
                <w:sz w:val="20"/>
                <w:szCs w:val="20"/>
              </w:rPr>
              <w:br/>
              <w:t>201</w:t>
            </w:r>
            <w:r w:rsidR="000A4FCD">
              <w:rPr>
                <w:rFonts w:ascii="Times New Roman" w:hAnsi="Times New Roman" w:cs="Times New Roman"/>
                <w:b/>
                <w:sz w:val="20"/>
                <w:szCs w:val="20"/>
              </w:rPr>
              <w:t>9</w:t>
            </w:r>
            <w:r w:rsidR="006E0877" w:rsidRPr="006E0877">
              <w:rPr>
                <w:rFonts w:ascii="Times New Roman" w:hAnsi="Times New Roman" w:cs="Times New Roman"/>
                <w:b/>
                <w:sz w:val="20"/>
                <w:szCs w:val="20"/>
              </w:rPr>
              <w:t>-20</w:t>
            </w:r>
            <w:r w:rsidR="000A4FCD">
              <w:rPr>
                <w:rFonts w:ascii="Times New Roman" w:hAnsi="Times New Roman" w:cs="Times New Roman"/>
                <w:b/>
                <w:sz w:val="20"/>
                <w:szCs w:val="20"/>
              </w:rPr>
              <w:t>20</w:t>
            </w:r>
          </w:p>
        </w:tc>
        <w:tc>
          <w:tcPr>
            <w:tcW w:w="3780" w:type="dxa"/>
            <w:vAlign w:val="center"/>
          </w:tcPr>
          <w:p w:rsidR="006E0877" w:rsidRPr="006E0877" w:rsidRDefault="006E0877" w:rsidP="00F31DB3">
            <w:pPr>
              <w:snapToGrid w:val="0"/>
              <w:spacing w:after="200" w:line="276" w:lineRule="auto"/>
              <w:jc w:val="center"/>
              <w:rPr>
                <w:rFonts w:ascii="Times New Roman" w:hAnsi="Times New Roman" w:cs="Times New Roman"/>
                <w:b/>
                <w:sz w:val="20"/>
                <w:szCs w:val="20"/>
              </w:rPr>
            </w:pPr>
            <w:r w:rsidRPr="006E0877">
              <w:rPr>
                <w:rFonts w:ascii="Times New Roman" w:hAnsi="Times New Roman" w:cs="Times New Roman"/>
                <w:b/>
                <w:sz w:val="20"/>
                <w:szCs w:val="20"/>
              </w:rPr>
              <w:t>Data Collection Source</w:t>
            </w:r>
          </w:p>
        </w:tc>
      </w:tr>
      <w:tr w:rsidR="006E0877" w:rsidRPr="006E0877" w:rsidTr="00F31DB3">
        <w:trPr>
          <w:trHeight w:val="512"/>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1S1</w:t>
            </w:r>
          </w:p>
        </w:tc>
        <w:tc>
          <w:tcPr>
            <w:tcW w:w="4117" w:type="dxa"/>
            <w:vAlign w:val="center"/>
          </w:tcPr>
          <w:p w:rsidR="006E0877" w:rsidRPr="006E0877" w:rsidRDefault="006E0877"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Academic Attainment</w:t>
            </w:r>
          </w:p>
          <w:p w:rsidR="006E0877" w:rsidRPr="006E0877" w:rsidRDefault="006E0877" w:rsidP="00F31DB3">
            <w:pPr>
              <w:snapToGrid w:val="0"/>
              <w:spacing w:line="276" w:lineRule="auto"/>
              <w:ind w:firstLine="406"/>
              <w:rPr>
                <w:rFonts w:ascii="Times New Roman" w:hAnsi="Times New Roman" w:cs="Times New Roman"/>
                <w:sz w:val="20"/>
                <w:szCs w:val="20"/>
              </w:rPr>
            </w:pPr>
            <w:r w:rsidRPr="006E0877">
              <w:rPr>
                <w:rFonts w:ascii="Times New Roman" w:hAnsi="Times New Roman" w:cs="Times New Roman"/>
                <w:sz w:val="20"/>
                <w:szCs w:val="20"/>
              </w:rPr>
              <w:t xml:space="preserve"> English: Reading</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vertAlign w:val="superscript"/>
              </w:rPr>
            </w:pPr>
            <w:r w:rsidRPr="006E0877">
              <w:rPr>
                <w:rFonts w:ascii="Times New Roman" w:hAnsi="Times New Roman" w:cs="Times New Roman"/>
                <w:sz w:val="20"/>
                <w:szCs w:val="20"/>
              </w:rPr>
              <w:t>87.00%</w:t>
            </w:r>
            <w:r w:rsidRPr="006E0877">
              <w:rPr>
                <w:rFonts w:ascii="Times New Roman" w:hAnsi="Times New Roman" w:cs="Times New Roman"/>
                <w:b/>
                <w:sz w:val="20"/>
                <w:szCs w:val="20"/>
              </w:rPr>
              <w:t>*</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End-of-Course (EOC) Standard of Learning Test Scores</w:t>
            </w:r>
          </w:p>
        </w:tc>
      </w:tr>
      <w:tr w:rsidR="006E0877" w:rsidRPr="006E0877" w:rsidTr="00F31DB3">
        <w:trPr>
          <w:trHeight w:val="557"/>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1S2</w:t>
            </w:r>
          </w:p>
        </w:tc>
        <w:tc>
          <w:tcPr>
            <w:tcW w:w="4117" w:type="dxa"/>
            <w:vAlign w:val="center"/>
          </w:tcPr>
          <w:p w:rsidR="006E0877" w:rsidRPr="006E0877" w:rsidRDefault="006E0877"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Academic Attainment</w:t>
            </w:r>
          </w:p>
          <w:p w:rsidR="006E0877" w:rsidRPr="006E0877" w:rsidRDefault="006E0877" w:rsidP="00F31DB3">
            <w:pPr>
              <w:snapToGrid w:val="0"/>
              <w:spacing w:line="276" w:lineRule="auto"/>
              <w:ind w:firstLine="406"/>
              <w:rPr>
                <w:rFonts w:ascii="Times New Roman" w:hAnsi="Times New Roman" w:cs="Times New Roman"/>
                <w:sz w:val="20"/>
                <w:szCs w:val="20"/>
              </w:rPr>
            </w:pPr>
            <w:r w:rsidRPr="006E0877">
              <w:rPr>
                <w:rFonts w:ascii="Times New Roman" w:hAnsi="Times New Roman" w:cs="Times New Roman"/>
                <w:sz w:val="20"/>
                <w:szCs w:val="20"/>
              </w:rPr>
              <w:t>Mathematics (Highest level)</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vertAlign w:val="superscript"/>
              </w:rPr>
            </w:pPr>
            <w:r w:rsidRPr="006E0877">
              <w:rPr>
                <w:rFonts w:ascii="Times New Roman" w:hAnsi="Times New Roman" w:cs="Times New Roman"/>
                <w:sz w:val="20"/>
                <w:szCs w:val="20"/>
              </w:rPr>
              <w:t>87.00%</w:t>
            </w:r>
            <w:r w:rsidRPr="006E0877">
              <w:rPr>
                <w:rFonts w:ascii="Times New Roman" w:hAnsi="Times New Roman" w:cs="Times New Roman"/>
                <w:b/>
                <w:sz w:val="20"/>
                <w:szCs w:val="20"/>
              </w:rPr>
              <w:t>*</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End-of-Course (EOC) Standard of Learning Test Scores</w:t>
            </w:r>
          </w:p>
        </w:tc>
      </w:tr>
      <w:tr w:rsidR="00923916" w:rsidRPr="006E0877" w:rsidTr="00923916">
        <w:trPr>
          <w:trHeight w:val="566"/>
        </w:trPr>
        <w:tc>
          <w:tcPr>
            <w:tcW w:w="1440"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2S1 A</w:t>
            </w:r>
          </w:p>
        </w:tc>
        <w:tc>
          <w:tcPr>
            <w:tcW w:w="4117" w:type="dxa"/>
            <w:vAlign w:val="center"/>
          </w:tcPr>
          <w:p w:rsidR="00923916" w:rsidRPr="006E0877" w:rsidRDefault="00923916"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Technical Skills Attainment</w:t>
            </w:r>
          </w:p>
          <w:p w:rsidR="00923916" w:rsidRPr="006E0877" w:rsidRDefault="00923916" w:rsidP="00F31DB3">
            <w:pPr>
              <w:snapToGrid w:val="0"/>
              <w:spacing w:line="276" w:lineRule="auto"/>
              <w:ind w:left="180"/>
              <w:rPr>
                <w:rFonts w:ascii="Times New Roman" w:hAnsi="Times New Roman" w:cs="Times New Roman"/>
                <w:sz w:val="20"/>
                <w:szCs w:val="20"/>
              </w:rPr>
            </w:pPr>
            <w:r w:rsidRPr="006E0877">
              <w:rPr>
                <w:rFonts w:ascii="Times New Roman" w:hAnsi="Times New Roman" w:cs="Times New Roman"/>
                <w:sz w:val="20"/>
                <w:szCs w:val="20"/>
              </w:rPr>
              <w:t>Student Competency Rate</w:t>
            </w:r>
          </w:p>
        </w:tc>
        <w:tc>
          <w:tcPr>
            <w:tcW w:w="1463"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93.00%</w:t>
            </w:r>
          </w:p>
        </w:tc>
        <w:tc>
          <w:tcPr>
            <w:tcW w:w="3780" w:type="dxa"/>
            <w:tcBorders>
              <w:bottom w:val="nil"/>
            </w:tcBorders>
          </w:tcPr>
          <w:p w:rsidR="00923916" w:rsidRPr="00923916" w:rsidRDefault="00923916" w:rsidP="00923916">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Final Completer Demographics Report (CDR)</w:t>
            </w:r>
          </w:p>
        </w:tc>
      </w:tr>
      <w:tr w:rsidR="00923916" w:rsidRPr="006E0877" w:rsidTr="00923916">
        <w:trPr>
          <w:trHeight w:val="539"/>
        </w:trPr>
        <w:tc>
          <w:tcPr>
            <w:tcW w:w="1440"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2S1 B</w:t>
            </w:r>
          </w:p>
        </w:tc>
        <w:tc>
          <w:tcPr>
            <w:tcW w:w="4117" w:type="dxa"/>
            <w:vAlign w:val="center"/>
          </w:tcPr>
          <w:p w:rsidR="00923916" w:rsidRPr="006E0877" w:rsidRDefault="00923916" w:rsidP="00F31DB3">
            <w:pPr>
              <w:snapToGrid w:val="0"/>
              <w:spacing w:line="276" w:lineRule="auto"/>
              <w:ind w:left="180"/>
              <w:rPr>
                <w:rFonts w:ascii="Times New Roman" w:hAnsi="Times New Roman" w:cs="Times New Roman"/>
                <w:sz w:val="20"/>
                <w:szCs w:val="20"/>
              </w:rPr>
            </w:pPr>
            <w:r w:rsidRPr="006E0877">
              <w:rPr>
                <w:rFonts w:ascii="Times New Roman" w:hAnsi="Times New Roman" w:cs="Times New Roman"/>
                <w:sz w:val="20"/>
                <w:szCs w:val="20"/>
              </w:rPr>
              <w:t>Completers Participating in Credentialing Tests</w:t>
            </w:r>
          </w:p>
        </w:tc>
        <w:tc>
          <w:tcPr>
            <w:tcW w:w="1463"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85.00%</w:t>
            </w:r>
          </w:p>
        </w:tc>
        <w:tc>
          <w:tcPr>
            <w:tcW w:w="3780" w:type="dxa"/>
            <w:tcBorders>
              <w:top w:val="nil"/>
              <w:bottom w:val="nil"/>
            </w:tcBorders>
          </w:tcPr>
          <w:p w:rsidR="00923916" w:rsidRPr="00923916" w:rsidRDefault="00923916" w:rsidP="00923916">
            <w:pPr>
              <w:numPr>
                <w:ilvl w:val="0"/>
                <w:numId w:val="3"/>
              </w:numPr>
              <w:snapToGrid w:val="0"/>
              <w:ind w:left="342" w:hanging="270"/>
              <w:rPr>
                <w:rFonts w:ascii="Times New Roman" w:hAnsi="Times New Roman" w:cs="Times New Roman"/>
                <w:sz w:val="20"/>
                <w:szCs w:val="20"/>
              </w:rPr>
            </w:pPr>
            <w:r w:rsidRPr="00923916">
              <w:rPr>
                <w:rFonts w:ascii="Times New Roman" w:hAnsi="Times New Roman" w:cs="Times New Roman"/>
                <w:sz w:val="20"/>
                <w:szCs w:val="20"/>
              </w:rPr>
              <w:t>Career and Technical Education  Credential Collection (CTECC)</w:t>
            </w:r>
          </w:p>
        </w:tc>
      </w:tr>
      <w:tr w:rsidR="00923916" w:rsidRPr="006E0877" w:rsidTr="00923916">
        <w:trPr>
          <w:trHeight w:val="503"/>
        </w:trPr>
        <w:tc>
          <w:tcPr>
            <w:tcW w:w="1440"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2S1 C</w:t>
            </w:r>
          </w:p>
        </w:tc>
        <w:tc>
          <w:tcPr>
            <w:tcW w:w="4117" w:type="dxa"/>
            <w:vAlign w:val="center"/>
          </w:tcPr>
          <w:p w:rsidR="00923916" w:rsidRPr="006E0877" w:rsidRDefault="00923916" w:rsidP="00F31DB3">
            <w:pPr>
              <w:snapToGrid w:val="0"/>
              <w:spacing w:line="276" w:lineRule="auto"/>
              <w:ind w:left="180"/>
              <w:rPr>
                <w:rFonts w:ascii="Times New Roman" w:hAnsi="Times New Roman" w:cs="Times New Roman"/>
                <w:sz w:val="20"/>
                <w:szCs w:val="20"/>
              </w:rPr>
            </w:pPr>
            <w:r w:rsidRPr="006E0877">
              <w:rPr>
                <w:rFonts w:ascii="Times New Roman" w:hAnsi="Times New Roman" w:cs="Times New Roman"/>
                <w:sz w:val="20"/>
                <w:szCs w:val="20"/>
              </w:rPr>
              <w:t xml:space="preserve">Test Takers (Completers) Passing Credentialing Tests </w:t>
            </w:r>
          </w:p>
        </w:tc>
        <w:tc>
          <w:tcPr>
            <w:tcW w:w="1463"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85.00%</w:t>
            </w:r>
          </w:p>
        </w:tc>
        <w:tc>
          <w:tcPr>
            <w:tcW w:w="3780" w:type="dxa"/>
            <w:tcBorders>
              <w:top w:val="nil"/>
              <w:bottom w:val="nil"/>
            </w:tcBorders>
          </w:tcPr>
          <w:p w:rsidR="00923916" w:rsidRPr="00923916" w:rsidRDefault="00923916" w:rsidP="000C3B71">
            <w:pPr>
              <w:snapToGrid w:val="0"/>
              <w:spacing w:line="276" w:lineRule="auto"/>
              <w:jc w:val="center"/>
              <w:rPr>
                <w:rFonts w:ascii="Times New Roman" w:hAnsi="Times New Roman" w:cs="Times New Roman"/>
                <w:color w:val="FFFFFF" w:themeColor="background1"/>
                <w:sz w:val="20"/>
                <w:szCs w:val="20"/>
              </w:rPr>
            </w:pPr>
            <w:r w:rsidRPr="00923916">
              <w:rPr>
                <w:rFonts w:ascii="Times New Roman" w:hAnsi="Times New Roman" w:cs="Times New Roman"/>
                <w:color w:val="FFFFFF" w:themeColor="background1"/>
                <w:sz w:val="20"/>
                <w:szCs w:val="20"/>
              </w:rPr>
              <w:t>Blank Cell</w:t>
            </w:r>
          </w:p>
        </w:tc>
      </w:tr>
      <w:tr w:rsidR="00923916" w:rsidRPr="006E0877" w:rsidTr="00923916">
        <w:trPr>
          <w:trHeight w:val="368"/>
        </w:trPr>
        <w:tc>
          <w:tcPr>
            <w:tcW w:w="1440"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2S1 D</w:t>
            </w:r>
          </w:p>
        </w:tc>
        <w:tc>
          <w:tcPr>
            <w:tcW w:w="4117" w:type="dxa"/>
            <w:vAlign w:val="center"/>
          </w:tcPr>
          <w:p w:rsidR="00923916" w:rsidRPr="006E0877" w:rsidRDefault="00923916" w:rsidP="00F31DB3">
            <w:pPr>
              <w:snapToGrid w:val="0"/>
              <w:spacing w:line="276" w:lineRule="auto"/>
              <w:ind w:left="180"/>
              <w:rPr>
                <w:rFonts w:ascii="Times New Roman" w:hAnsi="Times New Roman" w:cs="Times New Roman"/>
                <w:sz w:val="20"/>
                <w:szCs w:val="20"/>
              </w:rPr>
            </w:pPr>
            <w:r w:rsidRPr="006E0877">
              <w:rPr>
                <w:rFonts w:ascii="Times New Roman" w:hAnsi="Times New Roman" w:cs="Times New Roman"/>
                <w:sz w:val="20"/>
                <w:szCs w:val="20"/>
              </w:rPr>
              <w:t>Completers Passing Credentialing Tests</w:t>
            </w:r>
          </w:p>
        </w:tc>
        <w:tc>
          <w:tcPr>
            <w:tcW w:w="1463"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78.00%</w:t>
            </w:r>
          </w:p>
        </w:tc>
        <w:tc>
          <w:tcPr>
            <w:tcW w:w="3780" w:type="dxa"/>
            <w:tcBorders>
              <w:top w:val="nil"/>
              <w:bottom w:val="nil"/>
            </w:tcBorders>
          </w:tcPr>
          <w:p w:rsidR="00923916" w:rsidRPr="00923916" w:rsidRDefault="00923916" w:rsidP="000C3B71">
            <w:pPr>
              <w:snapToGrid w:val="0"/>
              <w:spacing w:line="276" w:lineRule="auto"/>
              <w:jc w:val="center"/>
              <w:rPr>
                <w:rFonts w:ascii="Times New Roman" w:hAnsi="Times New Roman" w:cs="Times New Roman"/>
                <w:color w:val="FFFFFF" w:themeColor="background1"/>
                <w:sz w:val="20"/>
                <w:szCs w:val="20"/>
              </w:rPr>
            </w:pPr>
            <w:r w:rsidRPr="00923916">
              <w:rPr>
                <w:rFonts w:ascii="Times New Roman" w:hAnsi="Times New Roman" w:cs="Times New Roman"/>
                <w:color w:val="FFFFFF" w:themeColor="background1"/>
                <w:sz w:val="20"/>
                <w:szCs w:val="20"/>
              </w:rPr>
              <w:t>Blank Cell</w:t>
            </w:r>
          </w:p>
        </w:tc>
      </w:tr>
      <w:tr w:rsidR="00923916" w:rsidRPr="006E0877" w:rsidTr="00923916">
        <w:trPr>
          <w:trHeight w:val="622"/>
        </w:trPr>
        <w:tc>
          <w:tcPr>
            <w:tcW w:w="1440"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2S1 E</w:t>
            </w:r>
          </w:p>
        </w:tc>
        <w:tc>
          <w:tcPr>
            <w:tcW w:w="4117" w:type="dxa"/>
            <w:vAlign w:val="center"/>
          </w:tcPr>
          <w:p w:rsidR="00923916" w:rsidRPr="006E0877" w:rsidRDefault="00923916" w:rsidP="00F31DB3">
            <w:pPr>
              <w:snapToGrid w:val="0"/>
              <w:spacing w:line="276" w:lineRule="auto"/>
              <w:ind w:left="180"/>
              <w:rPr>
                <w:rFonts w:ascii="Times New Roman" w:hAnsi="Times New Roman" w:cs="Times New Roman"/>
                <w:sz w:val="20"/>
                <w:szCs w:val="20"/>
              </w:rPr>
            </w:pPr>
            <w:r w:rsidRPr="006E0877">
              <w:rPr>
                <w:rFonts w:ascii="Times New Roman" w:hAnsi="Times New Roman" w:cs="Times New Roman"/>
                <w:sz w:val="20"/>
                <w:szCs w:val="20"/>
              </w:rPr>
              <w:t xml:space="preserve">Completers Who Passed a Credentialing Test </w:t>
            </w:r>
            <w:r w:rsidRPr="006E0877">
              <w:rPr>
                <w:rFonts w:ascii="Times New Roman" w:hAnsi="Times New Roman" w:cs="Times New Roman"/>
                <w:i/>
                <w:sz w:val="20"/>
                <w:szCs w:val="20"/>
              </w:rPr>
              <w:t>Plus</w:t>
            </w:r>
            <w:r w:rsidRPr="006E0877">
              <w:rPr>
                <w:rFonts w:ascii="Times New Roman" w:hAnsi="Times New Roman" w:cs="Times New Roman"/>
                <w:sz w:val="20"/>
                <w:szCs w:val="20"/>
              </w:rPr>
              <w:t xml:space="preserve"> Completers Who Earned an Advanced Studies Diploma and Did Not Pass a Credentialing Test</w:t>
            </w:r>
          </w:p>
        </w:tc>
        <w:tc>
          <w:tcPr>
            <w:tcW w:w="1463"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81.00%</w:t>
            </w:r>
          </w:p>
        </w:tc>
        <w:tc>
          <w:tcPr>
            <w:tcW w:w="3780" w:type="dxa"/>
            <w:tcBorders>
              <w:top w:val="nil"/>
              <w:bottom w:val="nil"/>
            </w:tcBorders>
          </w:tcPr>
          <w:p w:rsidR="00923916" w:rsidRPr="00923916" w:rsidRDefault="00923916" w:rsidP="000C3B71">
            <w:pPr>
              <w:snapToGrid w:val="0"/>
              <w:spacing w:line="276" w:lineRule="auto"/>
              <w:jc w:val="center"/>
              <w:rPr>
                <w:rFonts w:ascii="Times New Roman" w:hAnsi="Times New Roman" w:cs="Times New Roman"/>
                <w:color w:val="FFFFFF" w:themeColor="background1"/>
                <w:sz w:val="20"/>
                <w:szCs w:val="20"/>
              </w:rPr>
            </w:pPr>
            <w:r w:rsidRPr="00923916">
              <w:rPr>
                <w:rFonts w:ascii="Times New Roman" w:hAnsi="Times New Roman" w:cs="Times New Roman"/>
                <w:color w:val="FFFFFF" w:themeColor="background1"/>
                <w:sz w:val="20"/>
                <w:szCs w:val="20"/>
              </w:rPr>
              <w:t>Blank Cell</w:t>
            </w:r>
          </w:p>
        </w:tc>
      </w:tr>
      <w:tr w:rsidR="00923916" w:rsidRPr="006E0877" w:rsidTr="00923916">
        <w:trPr>
          <w:trHeight w:val="622"/>
        </w:trPr>
        <w:tc>
          <w:tcPr>
            <w:tcW w:w="1440" w:type="dxa"/>
            <w:vAlign w:val="center"/>
          </w:tcPr>
          <w:p w:rsidR="00923916" w:rsidRPr="006E0877" w:rsidRDefault="00923916" w:rsidP="00F31DB3">
            <w:pPr>
              <w:snapToGrid w:val="0"/>
              <w:spacing w:line="276" w:lineRule="auto"/>
              <w:jc w:val="center"/>
              <w:rPr>
                <w:rFonts w:ascii="Times New Roman" w:hAnsi="Times New Roman" w:cs="Times New Roman"/>
                <w:b/>
                <w:sz w:val="20"/>
                <w:szCs w:val="20"/>
              </w:rPr>
            </w:pPr>
            <w:r w:rsidRPr="006E0877">
              <w:rPr>
                <w:rFonts w:ascii="Times New Roman" w:hAnsi="Times New Roman" w:cs="Times New Roman"/>
                <w:b/>
                <w:sz w:val="20"/>
                <w:szCs w:val="20"/>
              </w:rPr>
              <w:t>Information Indicator</w:t>
            </w:r>
          </w:p>
        </w:tc>
        <w:tc>
          <w:tcPr>
            <w:tcW w:w="4117" w:type="dxa"/>
            <w:vAlign w:val="center"/>
          </w:tcPr>
          <w:p w:rsidR="00923916" w:rsidRPr="006E0877" w:rsidRDefault="00923916"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 xml:space="preserve">— Completers Who Earned an Advanced Studies Diploma </w:t>
            </w:r>
            <w:r w:rsidRPr="006E0877">
              <w:rPr>
                <w:rFonts w:ascii="Times New Roman" w:hAnsi="Times New Roman" w:cs="Times New Roman"/>
                <w:i/>
                <w:sz w:val="20"/>
                <w:szCs w:val="20"/>
              </w:rPr>
              <w:t xml:space="preserve">and </w:t>
            </w:r>
            <w:r w:rsidRPr="006E0877">
              <w:rPr>
                <w:rFonts w:ascii="Times New Roman" w:hAnsi="Times New Roman" w:cs="Times New Roman"/>
                <w:sz w:val="20"/>
                <w:szCs w:val="20"/>
              </w:rPr>
              <w:t>Passed a Credentialing Test</w:t>
            </w:r>
          </w:p>
        </w:tc>
        <w:tc>
          <w:tcPr>
            <w:tcW w:w="1463" w:type="dxa"/>
            <w:vAlign w:val="center"/>
          </w:tcPr>
          <w:p w:rsidR="00923916" w:rsidRPr="006E0877" w:rsidRDefault="00923916"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Not Applicable</w:t>
            </w:r>
          </w:p>
        </w:tc>
        <w:tc>
          <w:tcPr>
            <w:tcW w:w="3780" w:type="dxa"/>
            <w:tcBorders>
              <w:top w:val="nil"/>
            </w:tcBorders>
          </w:tcPr>
          <w:p w:rsidR="00923916" w:rsidRPr="00923916" w:rsidRDefault="00923916" w:rsidP="000C3B71">
            <w:pPr>
              <w:snapToGrid w:val="0"/>
              <w:spacing w:line="276" w:lineRule="auto"/>
              <w:jc w:val="center"/>
              <w:rPr>
                <w:rFonts w:ascii="Times New Roman" w:hAnsi="Times New Roman" w:cs="Times New Roman"/>
                <w:color w:val="FFFFFF" w:themeColor="background1"/>
                <w:sz w:val="20"/>
                <w:szCs w:val="20"/>
              </w:rPr>
            </w:pPr>
            <w:r w:rsidRPr="00923916">
              <w:rPr>
                <w:rFonts w:ascii="Times New Roman" w:hAnsi="Times New Roman" w:cs="Times New Roman"/>
                <w:color w:val="FFFFFF" w:themeColor="background1"/>
                <w:sz w:val="20"/>
                <w:szCs w:val="20"/>
              </w:rPr>
              <w:t>Blank Cell</w:t>
            </w:r>
          </w:p>
        </w:tc>
      </w:tr>
      <w:tr w:rsidR="006E0877" w:rsidRPr="006E0877" w:rsidTr="00F31DB3">
        <w:trPr>
          <w:trHeight w:val="890"/>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3S1</w:t>
            </w:r>
          </w:p>
        </w:tc>
        <w:tc>
          <w:tcPr>
            <w:tcW w:w="4117" w:type="dxa"/>
            <w:vAlign w:val="center"/>
          </w:tcPr>
          <w:p w:rsidR="006E0877" w:rsidRPr="006E0877" w:rsidRDefault="006E0877"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Secondary Program Completion Rate</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97.00%</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Final Completer Demographics Report (CDR)</w:t>
            </w:r>
          </w:p>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EOY SRC Dropout Report</w:t>
            </w:r>
          </w:p>
        </w:tc>
      </w:tr>
      <w:tr w:rsidR="006E0877" w:rsidRPr="006E0877" w:rsidTr="00F31DB3">
        <w:trPr>
          <w:trHeight w:val="503"/>
        </w:trPr>
        <w:tc>
          <w:tcPr>
            <w:tcW w:w="1440" w:type="dxa"/>
            <w:vAlign w:val="center"/>
          </w:tcPr>
          <w:p w:rsidR="006E0877" w:rsidRPr="006E0877" w:rsidRDefault="006E0877" w:rsidP="00F31DB3">
            <w:pPr>
              <w:snapToGrid w:val="0"/>
              <w:jc w:val="center"/>
              <w:rPr>
                <w:rFonts w:ascii="Times New Roman" w:hAnsi="Times New Roman" w:cs="Times New Roman"/>
                <w:sz w:val="20"/>
                <w:szCs w:val="20"/>
              </w:rPr>
            </w:pPr>
            <w:r w:rsidRPr="006E0877">
              <w:rPr>
                <w:rFonts w:ascii="Times New Roman" w:hAnsi="Times New Roman" w:cs="Times New Roman"/>
                <w:sz w:val="20"/>
                <w:szCs w:val="20"/>
              </w:rPr>
              <w:t>4S1</w:t>
            </w:r>
          </w:p>
        </w:tc>
        <w:tc>
          <w:tcPr>
            <w:tcW w:w="4117" w:type="dxa"/>
            <w:vAlign w:val="center"/>
          </w:tcPr>
          <w:p w:rsidR="006E0877" w:rsidRPr="006E0877" w:rsidRDefault="006E0877" w:rsidP="00F31DB3">
            <w:pPr>
              <w:snapToGrid w:val="0"/>
              <w:rPr>
                <w:rFonts w:ascii="Times New Roman" w:hAnsi="Times New Roman" w:cs="Times New Roman"/>
                <w:sz w:val="20"/>
                <w:szCs w:val="20"/>
              </w:rPr>
            </w:pPr>
            <w:r w:rsidRPr="006E0877">
              <w:rPr>
                <w:rFonts w:ascii="Times New Roman" w:hAnsi="Times New Roman" w:cs="Times New Roman"/>
                <w:sz w:val="20"/>
                <w:szCs w:val="20"/>
              </w:rPr>
              <w:t>Graduation Rate</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94.00%</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color w:val="FF0000"/>
                <w:sz w:val="20"/>
                <w:szCs w:val="20"/>
              </w:rPr>
            </w:pPr>
            <w:r w:rsidRPr="006E0877">
              <w:rPr>
                <w:rFonts w:ascii="Times New Roman" w:hAnsi="Times New Roman" w:cs="Times New Roman"/>
                <w:sz w:val="20"/>
                <w:szCs w:val="20"/>
              </w:rPr>
              <w:t>Final Completer Demographics Report (CDR)</w:t>
            </w:r>
          </w:p>
        </w:tc>
      </w:tr>
      <w:tr w:rsidR="006E0877" w:rsidRPr="006E0877" w:rsidTr="00F31DB3">
        <w:trPr>
          <w:trHeight w:val="633"/>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5S1 TR</w:t>
            </w:r>
          </w:p>
        </w:tc>
        <w:tc>
          <w:tcPr>
            <w:tcW w:w="4117" w:type="dxa"/>
            <w:vAlign w:val="center"/>
          </w:tcPr>
          <w:p w:rsidR="006E0877" w:rsidRPr="006E0877" w:rsidRDefault="006E0877"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Transition Rate</w:t>
            </w:r>
            <w:r w:rsidRPr="006E0877">
              <w:rPr>
                <w:rFonts w:ascii="Times New Roman" w:hAnsi="Times New Roman" w:cs="Times New Roman"/>
                <w:color w:val="FF0000"/>
                <w:sz w:val="20"/>
                <w:szCs w:val="20"/>
              </w:rPr>
              <w:t xml:space="preserve"> </w:t>
            </w:r>
            <w:r w:rsidRPr="006E0877">
              <w:rPr>
                <w:rFonts w:ascii="Times New Roman" w:hAnsi="Times New Roman" w:cs="Times New Roman"/>
                <w:sz w:val="20"/>
                <w:szCs w:val="20"/>
              </w:rPr>
              <w:t>from Secondary School to Postsecondary Education, Employment, or Military</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94.00%</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CTE Follow-Up Survey of Program Completers</w:t>
            </w:r>
          </w:p>
        </w:tc>
      </w:tr>
      <w:tr w:rsidR="006E0877" w:rsidRPr="006E0877" w:rsidTr="00F31DB3">
        <w:trPr>
          <w:trHeight w:val="557"/>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5S1 RR</w:t>
            </w:r>
          </w:p>
        </w:tc>
        <w:tc>
          <w:tcPr>
            <w:tcW w:w="4117" w:type="dxa"/>
            <w:vAlign w:val="center"/>
          </w:tcPr>
          <w:p w:rsidR="006E0877" w:rsidRPr="006E0877" w:rsidRDefault="006E0877"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Program Completer Survey Response Rate</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75.00%</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CTE Follow-Up Survey of Program Completers</w:t>
            </w:r>
          </w:p>
        </w:tc>
      </w:tr>
      <w:tr w:rsidR="006E0877" w:rsidRPr="006E0877" w:rsidTr="00F31DB3">
        <w:trPr>
          <w:trHeight w:val="512"/>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6S1</w:t>
            </w:r>
          </w:p>
        </w:tc>
        <w:tc>
          <w:tcPr>
            <w:tcW w:w="4117" w:type="dxa"/>
            <w:vAlign w:val="center"/>
          </w:tcPr>
          <w:p w:rsidR="006E0877" w:rsidRPr="006E0877" w:rsidRDefault="006E0877"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Nontraditional Career Preparation Enrollment</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31.75%</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Secondary Enrollment Demographics Form (SEDF)</w:t>
            </w:r>
          </w:p>
        </w:tc>
      </w:tr>
      <w:tr w:rsidR="006E0877" w:rsidRPr="006E0877" w:rsidTr="00F31DB3">
        <w:trPr>
          <w:trHeight w:val="512"/>
        </w:trPr>
        <w:tc>
          <w:tcPr>
            <w:tcW w:w="1440"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6S2</w:t>
            </w:r>
          </w:p>
        </w:tc>
        <w:tc>
          <w:tcPr>
            <w:tcW w:w="4117" w:type="dxa"/>
            <w:vAlign w:val="center"/>
          </w:tcPr>
          <w:p w:rsidR="006E0877" w:rsidRPr="006E0877" w:rsidRDefault="006E0877" w:rsidP="00F31DB3">
            <w:pPr>
              <w:snapToGrid w:val="0"/>
              <w:spacing w:line="276" w:lineRule="auto"/>
              <w:rPr>
                <w:rFonts w:ascii="Times New Roman" w:hAnsi="Times New Roman" w:cs="Times New Roman"/>
                <w:sz w:val="20"/>
                <w:szCs w:val="20"/>
              </w:rPr>
            </w:pPr>
            <w:r w:rsidRPr="006E0877">
              <w:rPr>
                <w:rFonts w:ascii="Times New Roman" w:hAnsi="Times New Roman" w:cs="Times New Roman"/>
                <w:sz w:val="20"/>
                <w:szCs w:val="20"/>
              </w:rPr>
              <w:t>Nontraditional Career Preparation Completion</w:t>
            </w:r>
          </w:p>
        </w:tc>
        <w:tc>
          <w:tcPr>
            <w:tcW w:w="1463" w:type="dxa"/>
            <w:vAlign w:val="center"/>
          </w:tcPr>
          <w:p w:rsidR="006E0877" w:rsidRPr="006E0877" w:rsidRDefault="006E0877" w:rsidP="00F31DB3">
            <w:pPr>
              <w:snapToGrid w:val="0"/>
              <w:spacing w:line="276" w:lineRule="auto"/>
              <w:jc w:val="center"/>
              <w:rPr>
                <w:rFonts w:ascii="Times New Roman" w:hAnsi="Times New Roman" w:cs="Times New Roman"/>
                <w:sz w:val="20"/>
                <w:szCs w:val="20"/>
              </w:rPr>
            </w:pPr>
            <w:r w:rsidRPr="006E0877">
              <w:rPr>
                <w:rFonts w:ascii="Times New Roman" w:hAnsi="Times New Roman" w:cs="Times New Roman"/>
                <w:sz w:val="20"/>
                <w:szCs w:val="20"/>
              </w:rPr>
              <w:t>28.10%</w:t>
            </w:r>
          </w:p>
        </w:tc>
        <w:tc>
          <w:tcPr>
            <w:tcW w:w="3780" w:type="dxa"/>
          </w:tcPr>
          <w:p w:rsidR="006E0877" w:rsidRPr="006E0877" w:rsidRDefault="006E0877" w:rsidP="006E0877">
            <w:pPr>
              <w:numPr>
                <w:ilvl w:val="0"/>
                <w:numId w:val="3"/>
              </w:numPr>
              <w:snapToGrid w:val="0"/>
              <w:spacing w:line="276" w:lineRule="auto"/>
              <w:ind w:left="342" w:hanging="270"/>
              <w:rPr>
                <w:rFonts w:ascii="Times New Roman" w:hAnsi="Times New Roman" w:cs="Times New Roman"/>
                <w:sz w:val="20"/>
                <w:szCs w:val="20"/>
              </w:rPr>
            </w:pPr>
            <w:r w:rsidRPr="006E0877">
              <w:rPr>
                <w:rFonts w:ascii="Times New Roman" w:hAnsi="Times New Roman" w:cs="Times New Roman"/>
                <w:sz w:val="20"/>
                <w:szCs w:val="20"/>
              </w:rPr>
              <w:t>Final Completer Demographics Report (CDR)</w:t>
            </w:r>
          </w:p>
        </w:tc>
      </w:tr>
    </w:tbl>
    <w:p w:rsidR="006F03C7" w:rsidRPr="000A4FCD" w:rsidRDefault="000A4FCD" w:rsidP="000A4FCD">
      <w:pPr>
        <w:tabs>
          <w:tab w:val="left" w:pos="180"/>
        </w:tabs>
        <w:spacing w:line="240" w:lineRule="auto"/>
        <w:ind w:left="172" w:hanging="86"/>
        <w:rPr>
          <w:rFonts w:ascii="Times New Roman" w:hAnsi="Times New Roman" w:cs="Times New Roman"/>
        </w:rPr>
        <w:sectPr w:rsidR="006F03C7" w:rsidRPr="000A4FCD" w:rsidSect="00E82894">
          <w:pgSz w:w="12240" w:h="15840"/>
          <w:pgMar w:top="1440" w:right="1440" w:bottom="1440" w:left="1440" w:header="720" w:footer="720" w:gutter="0"/>
          <w:pgNumType w:start="1"/>
          <w:cols w:space="720"/>
          <w:docGrid w:linePitch="360"/>
        </w:sectPr>
      </w:pPr>
      <w:r>
        <w:rPr>
          <w:rFonts w:ascii="Times New Roman" w:hAnsi="Times New Roman" w:cs="Times New Roman"/>
          <w:vertAlign w:val="superscript"/>
        </w:rPr>
        <w:t>*Based on Virginia’</w:t>
      </w:r>
      <w:r w:rsidRPr="000A4FCD">
        <w:rPr>
          <w:rFonts w:ascii="Times New Roman" w:hAnsi="Times New Roman" w:cs="Times New Roman"/>
          <w:vertAlign w:val="superscript"/>
        </w:rPr>
        <w:t xml:space="preserve">s Annual Measurable Objectives (AMO) for all students under the ESEA Act, flexibility waivers were granted by </w:t>
      </w:r>
      <w:r w:rsidR="00E82894">
        <w:rPr>
          <w:rFonts w:ascii="Times New Roman" w:hAnsi="Times New Roman" w:cs="Times New Roman"/>
          <w:vertAlign w:val="superscript"/>
        </w:rPr>
        <w:t>the United States Department of Education (</w:t>
      </w:r>
      <w:r w:rsidRPr="000A4FCD">
        <w:rPr>
          <w:rFonts w:ascii="Times New Roman" w:hAnsi="Times New Roman" w:cs="Times New Roman"/>
          <w:vertAlign w:val="superscript"/>
        </w:rPr>
        <w:t>U</w:t>
      </w:r>
      <w:r>
        <w:rPr>
          <w:rFonts w:ascii="Times New Roman" w:hAnsi="Times New Roman" w:cs="Times New Roman"/>
          <w:vertAlign w:val="superscript"/>
        </w:rPr>
        <w:t>S</w:t>
      </w:r>
      <w:r w:rsidR="00E82894">
        <w:rPr>
          <w:rFonts w:ascii="Times New Roman" w:hAnsi="Times New Roman" w:cs="Times New Roman"/>
          <w:vertAlign w:val="superscript"/>
        </w:rPr>
        <w:t>ED)</w:t>
      </w:r>
      <w:r>
        <w:rPr>
          <w:rFonts w:ascii="Times New Roman" w:hAnsi="Times New Roman" w:cs="Times New Roman"/>
          <w:vertAlign w:val="superscript"/>
        </w:rPr>
        <w:t xml:space="preserve"> in March 2013. Reading - </w:t>
      </w:r>
      <w:r w:rsidRPr="000A4FCD">
        <w:rPr>
          <w:rFonts w:ascii="Times New Roman" w:hAnsi="Times New Roman" w:cs="Times New Roman"/>
          <w:vertAlign w:val="superscript"/>
        </w:rPr>
        <w:t>Calculated based on results of the new statewide reading assessments administered for the first time during the 2012-20</w:t>
      </w:r>
      <w:r>
        <w:rPr>
          <w:rFonts w:ascii="Times New Roman" w:hAnsi="Times New Roman" w:cs="Times New Roman"/>
          <w:vertAlign w:val="superscript"/>
        </w:rPr>
        <w:t xml:space="preserve">13 school year. Mathematics - </w:t>
      </w:r>
      <w:r w:rsidRPr="000A4FCD">
        <w:rPr>
          <w:rFonts w:ascii="Times New Roman" w:hAnsi="Times New Roman" w:cs="Times New Roman"/>
          <w:vertAlign w:val="superscript"/>
        </w:rPr>
        <w:t xml:space="preserve">Calculated in fall 2012 based on results of new statewide mathematics assessments administered the first time during the 2011-2012 school year. In July 2014, </w:t>
      </w:r>
      <w:r w:rsidR="00E82894">
        <w:rPr>
          <w:rFonts w:ascii="Times New Roman" w:hAnsi="Times New Roman" w:cs="Times New Roman"/>
          <w:vertAlign w:val="superscript"/>
        </w:rPr>
        <w:t xml:space="preserve">the </w:t>
      </w:r>
      <w:r w:rsidRPr="000A4FCD">
        <w:rPr>
          <w:rFonts w:ascii="Times New Roman" w:hAnsi="Times New Roman" w:cs="Times New Roman"/>
          <w:vertAlign w:val="superscript"/>
        </w:rPr>
        <w:t>US</w:t>
      </w:r>
      <w:r w:rsidR="00E82894">
        <w:rPr>
          <w:rFonts w:ascii="Times New Roman" w:hAnsi="Times New Roman" w:cs="Times New Roman"/>
          <w:vertAlign w:val="superscript"/>
        </w:rPr>
        <w:t>ED</w:t>
      </w:r>
      <w:r w:rsidRPr="000A4FCD">
        <w:rPr>
          <w:rFonts w:ascii="Times New Roman" w:hAnsi="Times New Roman" w:cs="Times New Roman"/>
          <w:vertAlign w:val="superscript"/>
        </w:rPr>
        <w:t xml:space="preserve"> approved the extension of Virginia's ESEA flexibility waiver based on revised methodology. In 2015, ESEA </w:t>
      </w:r>
      <w:r>
        <w:rPr>
          <w:rFonts w:ascii="Times New Roman" w:hAnsi="Times New Roman" w:cs="Times New Roman"/>
          <w:vertAlign w:val="superscript"/>
        </w:rPr>
        <w:t>was signed into law. Virginia’</w:t>
      </w:r>
      <w:r w:rsidRPr="000A4FCD">
        <w:rPr>
          <w:rFonts w:ascii="Times New Roman" w:hAnsi="Times New Roman" w:cs="Times New Roman"/>
          <w:vertAlign w:val="superscript"/>
        </w:rPr>
        <w:t>s ESEA plan was approved on May 18, 2018.</w:t>
      </w:r>
      <w:r w:rsidR="006E0877" w:rsidRPr="000A4FCD">
        <w:rPr>
          <w:rFonts w:ascii="Times New Roman" w:hAnsi="Times New Roman" w:cs="Times New Roman"/>
        </w:rPr>
        <w:t>.</w:t>
      </w:r>
    </w:p>
    <w:p w:rsidR="006E0877" w:rsidRPr="006E0877" w:rsidRDefault="006E0877" w:rsidP="006F03C7">
      <w:pPr>
        <w:pStyle w:val="Heading1"/>
        <w:spacing w:after="240"/>
        <w:rPr>
          <w:szCs w:val="28"/>
        </w:rPr>
      </w:pPr>
      <w:bookmarkStart w:id="7" w:name="_Toc430352468"/>
      <w:bookmarkStart w:id="8" w:name="_Toc453594144"/>
      <w:bookmarkStart w:id="9" w:name="_Toc462659410"/>
      <w:bookmarkStart w:id="10" w:name="_Toc520722425"/>
      <w:r w:rsidRPr="006E0877">
        <w:rPr>
          <w:szCs w:val="28"/>
        </w:rPr>
        <w:lastRenderedPageBreak/>
        <w:t>Perkins Performance Measures and Data Definitions</w:t>
      </w:r>
      <w:bookmarkEnd w:id="7"/>
      <w:bookmarkEnd w:id="8"/>
      <w:bookmarkEnd w:id="9"/>
      <w:bookmarkEnd w:id="10"/>
      <w:r w:rsidR="004F7371">
        <w:rPr>
          <w:szCs w:val="28"/>
        </w:rPr>
        <w:t xml:space="preserve"> for 2019-2020</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1S1—Academic Attainment rate for English: Reading equals the pass rate percentage of CTE students on the Standards of Learning (SOL) End-of-Course (EOC) English: Reading test (Reported by Responsible Division)</w:t>
      </w:r>
    </w:p>
    <w:p w:rsidR="006E0877" w:rsidRPr="006F03C7" w:rsidRDefault="006E0877" w:rsidP="006F03C7">
      <w:pPr>
        <w:spacing w:before="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have met the proficient or advanced level on the statewide high school EOC English: Reading assessment based on the scores that were included in the school division's computation of Annual Measurable Objectives (AMO) and who, in the reporting year, left secondary education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who took the SOL assessments in EOC English: Reading whose scores were included in the school division's computation of AMO and who, in the reporting year, left secondary education</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1S2—Academic Attainment rate for mathematics equals the pass rate percentage of CTE students on the SOL EOC mathematics test (Reported by Responsible Division)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have met the proficient or advanced level on the statewide high school EOC mathematics assessment (highest level) based on the scores that were included in the school division's computation of AMO and who, in the reporting year, left secondary education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who took the SOL assessments in EOC mathematics (highest level) whose scores were included in the school division's computation of AMO and who, in the reporting year, left secondary education</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2S1—Technical Skills Attainment: Rate for School Divisions is calculated by the Virginia Department of Education (Reported by CTE Serving Division)</w:t>
      </w:r>
    </w:p>
    <w:p w:rsidR="006E0877" w:rsidRPr="006F03C7" w:rsidRDefault="006E0877" w:rsidP="006E0877">
      <w:pPr>
        <w:tabs>
          <w:tab w:val="left" w:pos="360"/>
        </w:tabs>
        <w:spacing w:before="120" w:after="120"/>
        <w:ind w:left="360"/>
        <w:rPr>
          <w:rFonts w:ascii="Times New Roman" w:hAnsi="Times New Roman" w:cs="Times New Roman"/>
          <w:sz w:val="20"/>
          <w:szCs w:val="20"/>
        </w:rPr>
      </w:pPr>
      <w:r w:rsidRPr="006F03C7">
        <w:rPr>
          <w:rFonts w:ascii="Times New Roman" w:hAnsi="Times New Roman" w:cs="Times New Roman"/>
          <w:sz w:val="20"/>
          <w:szCs w:val="20"/>
        </w:rPr>
        <w:t>A.</w:t>
      </w:r>
      <w:r w:rsidRPr="006F03C7">
        <w:rPr>
          <w:rFonts w:ascii="Times New Roman" w:hAnsi="Times New Roman" w:cs="Times New Roman"/>
          <w:sz w:val="20"/>
          <w:szCs w:val="20"/>
        </w:rPr>
        <w:tab/>
        <w:t>Student Competency Rate from EOY SRC (CTE Completers)</w:t>
      </w:r>
    </w:p>
    <w:p w:rsidR="006E0877" w:rsidRPr="006F03C7" w:rsidRDefault="006E0877" w:rsidP="006F03C7">
      <w:pPr>
        <w:ind w:left="72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attained a satisfactory rating (one of the three highest marks) on the Student Competency Rating (SCR) scale on at least 80 percent of the required (essential) competencies in a CTE course</w:t>
      </w:r>
    </w:p>
    <w:p w:rsidR="006E0877" w:rsidRPr="006F03C7" w:rsidRDefault="006E0877" w:rsidP="006F03C7">
      <w:pPr>
        <w:ind w:left="72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w:t>
      </w:r>
    </w:p>
    <w:p w:rsidR="006E0877" w:rsidRPr="006F03C7" w:rsidRDefault="006E0877" w:rsidP="006E0877">
      <w:pPr>
        <w:tabs>
          <w:tab w:val="left" w:pos="360"/>
        </w:tabs>
        <w:spacing w:before="120" w:after="120"/>
        <w:ind w:left="360"/>
        <w:rPr>
          <w:rFonts w:ascii="Times New Roman" w:hAnsi="Times New Roman" w:cs="Times New Roman"/>
          <w:sz w:val="20"/>
          <w:szCs w:val="20"/>
        </w:rPr>
      </w:pPr>
      <w:r w:rsidRPr="006F03C7">
        <w:rPr>
          <w:rFonts w:ascii="Times New Roman" w:hAnsi="Times New Roman" w:cs="Times New Roman"/>
          <w:sz w:val="20"/>
          <w:szCs w:val="20"/>
        </w:rPr>
        <w:t>B.</w:t>
      </w:r>
      <w:r w:rsidRPr="006F03C7">
        <w:rPr>
          <w:rFonts w:ascii="Times New Roman" w:hAnsi="Times New Roman" w:cs="Times New Roman"/>
          <w:sz w:val="20"/>
          <w:szCs w:val="20"/>
        </w:rPr>
        <w:tab/>
        <w:t>Participation Rate Percentage of CTE Completers Taking External Credentialing Tests</w:t>
      </w:r>
    </w:p>
    <w:p w:rsidR="006E0877" w:rsidRPr="006F03C7" w:rsidRDefault="006E0877" w:rsidP="006F03C7">
      <w:pPr>
        <w:ind w:left="720"/>
        <w:rPr>
          <w:rFonts w:ascii="Times New Roman" w:hAnsi="Times New Roman" w:cs="Times New Roman"/>
          <w:strike/>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participated in an approved external examination</w:t>
      </w:r>
    </w:p>
    <w:p w:rsidR="006E0877" w:rsidRPr="006F03C7" w:rsidRDefault="006E0877" w:rsidP="006F03C7">
      <w:pPr>
        <w:ind w:left="720"/>
        <w:rPr>
          <w:rFonts w:ascii="Times New Roman" w:hAnsi="Times New Roman" w:cs="Times New Roman"/>
          <w:b/>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w:t>
      </w:r>
    </w:p>
    <w:p w:rsidR="006E0877" w:rsidRPr="006F03C7" w:rsidRDefault="006E0877" w:rsidP="006E0877">
      <w:pPr>
        <w:tabs>
          <w:tab w:val="left" w:pos="360"/>
        </w:tabs>
        <w:spacing w:before="120" w:after="120"/>
        <w:ind w:left="360"/>
        <w:rPr>
          <w:rFonts w:ascii="Times New Roman" w:hAnsi="Times New Roman" w:cs="Times New Roman"/>
          <w:sz w:val="20"/>
          <w:szCs w:val="20"/>
        </w:rPr>
      </w:pPr>
      <w:r w:rsidRPr="006F03C7">
        <w:rPr>
          <w:rFonts w:ascii="Times New Roman" w:hAnsi="Times New Roman" w:cs="Times New Roman"/>
          <w:sz w:val="20"/>
          <w:szCs w:val="20"/>
        </w:rPr>
        <w:t>C.</w:t>
      </w:r>
      <w:r w:rsidRPr="006F03C7">
        <w:rPr>
          <w:rFonts w:ascii="Times New Roman" w:hAnsi="Times New Roman" w:cs="Times New Roman"/>
          <w:sz w:val="20"/>
          <w:szCs w:val="20"/>
        </w:rPr>
        <w:tab/>
        <w:t>Passing Rate of CTE Completers Taking External Credentialing Tests</w:t>
      </w:r>
    </w:p>
    <w:p w:rsidR="006E0877" w:rsidRPr="006F03C7" w:rsidRDefault="006E0877" w:rsidP="006F03C7">
      <w:pPr>
        <w:ind w:left="72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passed an approved external examination</w:t>
      </w:r>
    </w:p>
    <w:p w:rsidR="006E0877" w:rsidRPr="006F03C7" w:rsidRDefault="006E0877" w:rsidP="006F03C7">
      <w:pPr>
        <w:ind w:left="72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taking external credentialing tests</w:t>
      </w:r>
    </w:p>
    <w:p w:rsidR="006E0877" w:rsidRPr="006F03C7" w:rsidRDefault="006E0877" w:rsidP="006E0877">
      <w:pPr>
        <w:tabs>
          <w:tab w:val="left" w:pos="360"/>
        </w:tabs>
        <w:spacing w:before="120" w:after="120"/>
        <w:ind w:left="360"/>
        <w:rPr>
          <w:rFonts w:ascii="Times New Roman" w:hAnsi="Times New Roman" w:cs="Times New Roman"/>
          <w:sz w:val="20"/>
          <w:szCs w:val="20"/>
        </w:rPr>
      </w:pPr>
      <w:r w:rsidRPr="006F03C7">
        <w:rPr>
          <w:rFonts w:ascii="Times New Roman" w:hAnsi="Times New Roman" w:cs="Times New Roman"/>
          <w:sz w:val="20"/>
          <w:szCs w:val="20"/>
        </w:rPr>
        <w:t>D.</w:t>
      </w:r>
      <w:r w:rsidRPr="006F03C7">
        <w:rPr>
          <w:rFonts w:ascii="Times New Roman" w:hAnsi="Times New Roman" w:cs="Times New Roman"/>
          <w:sz w:val="20"/>
          <w:szCs w:val="20"/>
        </w:rPr>
        <w:tab/>
        <w:t>Completers Passing Credentialing Tests</w:t>
      </w:r>
    </w:p>
    <w:p w:rsidR="006E0877" w:rsidRPr="006F03C7" w:rsidRDefault="006E0877" w:rsidP="006F03C7">
      <w:pPr>
        <w:ind w:left="72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passed an approved external examination</w:t>
      </w:r>
    </w:p>
    <w:p w:rsidR="006E0877" w:rsidRPr="006F03C7" w:rsidRDefault="006E0877" w:rsidP="006F03C7">
      <w:pPr>
        <w:ind w:left="72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w:t>
      </w:r>
    </w:p>
    <w:p w:rsidR="006E0877" w:rsidRPr="006F03C7" w:rsidRDefault="006E0877" w:rsidP="006E0877">
      <w:pPr>
        <w:spacing w:before="120" w:after="120"/>
        <w:ind w:left="720" w:hanging="360"/>
        <w:rPr>
          <w:rFonts w:ascii="Times New Roman" w:hAnsi="Times New Roman" w:cs="Times New Roman"/>
          <w:sz w:val="20"/>
          <w:szCs w:val="20"/>
        </w:rPr>
      </w:pPr>
      <w:r w:rsidRPr="006F03C7">
        <w:rPr>
          <w:rFonts w:ascii="Times New Roman" w:hAnsi="Times New Roman" w:cs="Times New Roman"/>
          <w:sz w:val="20"/>
          <w:szCs w:val="20"/>
        </w:rPr>
        <w:t>E.</w:t>
      </w:r>
      <w:r w:rsidRPr="006F03C7">
        <w:rPr>
          <w:rFonts w:ascii="Times New Roman" w:hAnsi="Times New Roman" w:cs="Times New Roman"/>
          <w:sz w:val="20"/>
          <w:szCs w:val="20"/>
        </w:rPr>
        <w:tab/>
        <w:t xml:space="preserve">CTE Completers who Passed a Credentialing Test Plus Completers Who Earned an Advanced Studies Diploma and Did Not Pass a Credentialing Test </w:t>
      </w:r>
    </w:p>
    <w:p w:rsidR="006E0877" w:rsidRPr="006F03C7" w:rsidRDefault="006E0877" w:rsidP="006F03C7">
      <w:pPr>
        <w:ind w:left="720"/>
        <w:rPr>
          <w:rFonts w:ascii="Times New Roman" w:hAnsi="Times New Roman" w:cs="Times New Roman"/>
          <w:sz w:val="20"/>
          <w:szCs w:val="20"/>
          <w:u w:val="single"/>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passing a credentialing test plus the number of CTE completers earning an Advanced Studies Diploma without passing a credentialing test</w:t>
      </w:r>
    </w:p>
    <w:p w:rsidR="006E0877" w:rsidRPr="006F03C7" w:rsidRDefault="006E0877" w:rsidP="006F03C7">
      <w:pPr>
        <w:ind w:left="720"/>
        <w:rPr>
          <w:rFonts w:ascii="Times New Roman" w:hAnsi="Times New Roman" w:cs="Times New Roman"/>
          <w:b/>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w:t>
      </w:r>
    </w:p>
    <w:p w:rsidR="006E0877" w:rsidRPr="006F03C7" w:rsidRDefault="006E0877" w:rsidP="006E0877">
      <w:pPr>
        <w:spacing w:before="240" w:after="120"/>
        <w:ind w:left="360"/>
        <w:rPr>
          <w:rFonts w:ascii="Times New Roman" w:hAnsi="Times New Roman" w:cs="Times New Roman"/>
          <w:b/>
          <w:sz w:val="20"/>
          <w:szCs w:val="20"/>
        </w:rPr>
      </w:pPr>
      <w:r w:rsidRPr="006F03C7">
        <w:rPr>
          <w:rFonts w:ascii="Times New Roman" w:hAnsi="Times New Roman" w:cs="Times New Roman"/>
          <w:b/>
          <w:sz w:val="20"/>
          <w:szCs w:val="20"/>
        </w:rPr>
        <w:t xml:space="preserve">Information Indicator: </w:t>
      </w:r>
      <w:r w:rsidRPr="006F03C7">
        <w:rPr>
          <w:rFonts w:ascii="Times New Roman" w:hAnsi="Times New Roman" w:cs="Times New Roman"/>
          <w:sz w:val="20"/>
          <w:szCs w:val="20"/>
        </w:rPr>
        <w:t>CTE Completers Who Earned an Advanced Studies Diploma and Passed a Credentialing Test</w:t>
      </w:r>
    </w:p>
    <w:p w:rsidR="006E0877" w:rsidRPr="006F03C7" w:rsidRDefault="006E0877" w:rsidP="006F03C7">
      <w:pPr>
        <w:ind w:left="72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earning an Advanced Studies Diploma and passing a credentialing test</w:t>
      </w:r>
    </w:p>
    <w:p w:rsidR="006E0877" w:rsidRPr="006F03C7" w:rsidRDefault="006E0877" w:rsidP="006F03C7">
      <w:pPr>
        <w:ind w:left="720"/>
        <w:rPr>
          <w:rFonts w:ascii="Times New Roman" w:hAnsi="Times New Roman" w:cs="Times New Roman"/>
          <w:b/>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w:t>
      </w:r>
    </w:p>
    <w:p w:rsidR="006E0877" w:rsidRPr="006E0877" w:rsidRDefault="006E0877" w:rsidP="006E0877">
      <w:pPr>
        <w:rPr>
          <w:rFonts w:ascii="Times New Roman" w:hAnsi="Times New Roman" w:cs="Times New Roman"/>
          <w:b/>
          <w:szCs w:val="24"/>
        </w:rPr>
      </w:pPr>
      <w:r w:rsidRPr="006E0877">
        <w:rPr>
          <w:rFonts w:ascii="Times New Roman" w:hAnsi="Times New Roman" w:cs="Times New Roman"/>
          <w:b/>
          <w:szCs w:val="24"/>
        </w:rPr>
        <w:br w:type="page"/>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lastRenderedPageBreak/>
        <w:t>3S1—Secondary Program Completion Rate (Reported by Responsible Division)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earned a secondary school diploma, a High School Equivalency (HSE) program (formerly General Educational Development [GED]) credential, or other state-recognized equivalent (including recognized alternative standards for individuals with disabilities), or a proficiency credential, certificate, or degree, in conjunction with a secondary school diploma (if offered by the school division) during the reporting year</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who left secondary education during the reporting year</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4S1—Secondary School Student Graduation Rate (Reported by CTE Serving Division)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earned an Advanced Studies, International Baccalaureate, or Standard Diploma</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who earned a secondary school diploma, a High School Equivalency (HSE) program (formerly General Educational Development [GED]) credential, or other state-recognized equivalent (including recognized alternative standards for individuals with disabilities), or a proficiency credential, certificate, or degree, in conjunction with a secondary school diploma (if offered by the school division) during the reporting year</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5S1—Transition Rate from Secondary School to Postsecondary Education, Employment, or Military (Reported by CTE Serving Division)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left secondary education during the prior year and were enrolled in postsecondary education or advanced training, military service, or employment</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who left secondary education during the prior year</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5S1—CTE Completer Response Rate (Reported by CTE Serving Division)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who responded completely to the Follow-Up Survey of Program Completers</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who left secondary education during the prior year</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6S1—Nontraditional Career Preparation Enrollment (Reported by CTE Serving Division)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enrollees from underrepresented gender groups who participated during the reporting year in a program that leads to employment in nontraditional fields</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enrollees during the reporting year in a program that leads to employment in nontraditional fields</w:t>
      </w:r>
    </w:p>
    <w:p w:rsidR="006E0877" w:rsidRPr="006F03C7" w:rsidRDefault="006E0877" w:rsidP="006E0877">
      <w:pPr>
        <w:spacing w:before="120" w:after="120"/>
        <w:rPr>
          <w:rFonts w:ascii="Times New Roman" w:hAnsi="Times New Roman" w:cs="Times New Roman"/>
          <w:b/>
          <w:sz w:val="20"/>
          <w:szCs w:val="20"/>
        </w:rPr>
      </w:pPr>
      <w:r w:rsidRPr="006F03C7">
        <w:rPr>
          <w:rFonts w:ascii="Times New Roman" w:hAnsi="Times New Roman" w:cs="Times New Roman"/>
          <w:b/>
          <w:sz w:val="20"/>
          <w:szCs w:val="20"/>
        </w:rPr>
        <w:t>6S2—Nontraditional Career Preparation Completion (Reported by CTE Serving Division)</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Numerator:</w:t>
      </w:r>
      <w:r w:rsidRPr="006F03C7">
        <w:rPr>
          <w:rFonts w:ascii="Times New Roman" w:hAnsi="Times New Roman" w:cs="Times New Roman"/>
          <w:sz w:val="20"/>
          <w:szCs w:val="20"/>
        </w:rPr>
        <w:t xml:space="preserve"> Number of CTE completers from underrepresented gender groups who, during the reporting year, completed a program that leads to employment in nontraditional fields</w:t>
      </w:r>
    </w:p>
    <w:p w:rsidR="006E0877" w:rsidRPr="006F03C7" w:rsidRDefault="006E0877" w:rsidP="006E0877">
      <w:pPr>
        <w:spacing w:before="120" w:after="120"/>
        <w:ind w:left="360"/>
        <w:rPr>
          <w:rFonts w:ascii="Times New Roman" w:hAnsi="Times New Roman" w:cs="Times New Roman"/>
          <w:sz w:val="20"/>
          <w:szCs w:val="20"/>
        </w:rPr>
      </w:pPr>
      <w:r w:rsidRPr="006F03C7">
        <w:rPr>
          <w:rFonts w:ascii="Times New Roman" w:hAnsi="Times New Roman" w:cs="Times New Roman"/>
          <w:b/>
          <w:sz w:val="20"/>
          <w:szCs w:val="20"/>
        </w:rPr>
        <w:t>Denominator:</w:t>
      </w:r>
      <w:r w:rsidRPr="006F03C7">
        <w:rPr>
          <w:rFonts w:ascii="Times New Roman" w:hAnsi="Times New Roman" w:cs="Times New Roman"/>
          <w:sz w:val="20"/>
          <w:szCs w:val="20"/>
        </w:rPr>
        <w:t xml:space="preserve"> Number of CTE completers during the program year of a program that leads to employment in nontraditional fields</w:t>
      </w:r>
    </w:p>
    <w:p w:rsidR="006F03C7" w:rsidRDefault="006F03C7">
      <w:pPr>
        <w:rPr>
          <w:rFonts w:ascii="Times New Roman" w:hAnsi="Times New Roman" w:cs="Times New Roman"/>
          <w:szCs w:val="24"/>
        </w:rPr>
        <w:sectPr w:rsidR="006F03C7" w:rsidSect="006F03C7">
          <w:pgSz w:w="12240" w:h="15840"/>
          <w:pgMar w:top="1296" w:right="1008" w:bottom="1008" w:left="1152" w:header="720" w:footer="720" w:gutter="0"/>
          <w:cols w:space="720"/>
          <w:docGrid w:linePitch="360"/>
        </w:sectPr>
      </w:pPr>
    </w:p>
    <w:p w:rsidR="006E0877" w:rsidRPr="006F03C7" w:rsidRDefault="006F03C7" w:rsidP="006E0877">
      <w:pPr>
        <w:pStyle w:val="Heading1"/>
        <w:rPr>
          <w:szCs w:val="28"/>
        </w:rPr>
      </w:pPr>
      <w:bookmarkStart w:id="11" w:name="_Toc430352465"/>
      <w:bookmarkStart w:id="12" w:name="_Toc453594141"/>
      <w:bookmarkStart w:id="13" w:name="_Toc462659407"/>
      <w:bookmarkStart w:id="14" w:name="_Toc520722422"/>
      <w:r w:rsidRPr="006F03C7">
        <w:rPr>
          <w:szCs w:val="28"/>
        </w:rPr>
        <w:lastRenderedPageBreak/>
        <w:t xml:space="preserve">Perkins Common </w:t>
      </w:r>
      <w:r w:rsidR="006E0877" w:rsidRPr="006F03C7">
        <w:rPr>
          <w:szCs w:val="28"/>
        </w:rPr>
        <w:t>Terms and Definitions</w:t>
      </w:r>
      <w:bookmarkEnd w:id="11"/>
      <w:bookmarkEnd w:id="12"/>
      <w:bookmarkEnd w:id="13"/>
      <w:bookmarkEnd w:id="14"/>
      <w:r w:rsidR="004F7371">
        <w:rPr>
          <w:szCs w:val="28"/>
        </w:rPr>
        <w:t xml:space="preserve"> for 2019-2020</w:t>
      </w:r>
    </w:p>
    <w:p w:rsidR="006E0877" w:rsidRPr="006E0877" w:rsidRDefault="006E0877" w:rsidP="006E0877">
      <w:pPr>
        <w:tabs>
          <w:tab w:val="right" w:leader="dot" w:pos="9630"/>
          <w:tab w:val="right" w:leader="dot" w:pos="9810"/>
          <w:tab w:val="right" w:leader="dot" w:pos="10080"/>
          <w:tab w:val="right" w:leader="dot" w:pos="10170"/>
        </w:tabs>
        <w:spacing w:after="120"/>
        <w:ind w:left="360" w:hanging="360"/>
        <w:rPr>
          <w:rFonts w:ascii="Times New Roman" w:hAnsi="Times New Roman" w:cs="Times New Roman"/>
          <w:szCs w:val="24"/>
        </w:rPr>
      </w:pPr>
    </w:p>
    <w:tbl>
      <w:tblPr>
        <w:tblStyle w:val="TableGrid1"/>
        <w:tblW w:w="10098" w:type="dxa"/>
        <w:tblLayout w:type="fixed"/>
        <w:tblCellMar>
          <w:top w:w="43" w:type="dxa"/>
          <w:left w:w="115" w:type="dxa"/>
          <w:bottom w:w="43" w:type="dxa"/>
          <w:right w:w="115" w:type="dxa"/>
        </w:tblCellMar>
        <w:tblLook w:val="04A0" w:firstRow="1" w:lastRow="0" w:firstColumn="1" w:lastColumn="0" w:noHBand="0" w:noVBand="1"/>
        <w:tblDescription w:val="Terms and Definitions"/>
      </w:tblPr>
      <w:tblGrid>
        <w:gridCol w:w="2455"/>
        <w:gridCol w:w="7643"/>
      </w:tblGrid>
      <w:tr w:rsidR="006E0877" w:rsidRPr="006F03C7" w:rsidTr="000C3B71">
        <w:trPr>
          <w:tblHeader/>
        </w:trPr>
        <w:tc>
          <w:tcPr>
            <w:tcW w:w="2455" w:type="dxa"/>
          </w:tcPr>
          <w:p w:rsidR="006E0877" w:rsidRPr="006F03C7" w:rsidRDefault="006E0877" w:rsidP="000C3B71">
            <w:pPr>
              <w:rPr>
                <w:rFonts w:ascii="Times New Roman" w:hAnsi="Times New Roman" w:cs="Times New Roman"/>
                <w:b/>
                <w:sz w:val="20"/>
                <w:szCs w:val="20"/>
              </w:rPr>
            </w:pPr>
            <w:r w:rsidRPr="006F03C7">
              <w:rPr>
                <w:rFonts w:ascii="Times New Roman" w:hAnsi="Times New Roman" w:cs="Times New Roman"/>
                <w:b/>
                <w:sz w:val="20"/>
                <w:szCs w:val="20"/>
              </w:rPr>
              <w:t>Term</w:t>
            </w:r>
          </w:p>
        </w:tc>
        <w:tc>
          <w:tcPr>
            <w:tcW w:w="7643" w:type="dxa"/>
          </w:tcPr>
          <w:p w:rsidR="006E0877" w:rsidRPr="006F03C7" w:rsidRDefault="006E0877" w:rsidP="000C3B71">
            <w:pPr>
              <w:rPr>
                <w:rFonts w:ascii="Times New Roman" w:hAnsi="Times New Roman" w:cs="Times New Roman"/>
                <w:b/>
                <w:sz w:val="20"/>
                <w:szCs w:val="20"/>
              </w:rPr>
            </w:pPr>
            <w:r w:rsidRPr="006F03C7">
              <w:rPr>
                <w:rFonts w:ascii="Times New Roman" w:hAnsi="Times New Roman" w:cs="Times New Roman"/>
                <w:b/>
                <w:sz w:val="20"/>
                <w:szCs w:val="20"/>
              </w:rPr>
              <w:t>Definition</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highlight w:val="yellow"/>
              </w:rPr>
            </w:pPr>
            <w:r w:rsidRPr="006F03C7">
              <w:rPr>
                <w:rFonts w:ascii="Times New Roman" w:hAnsi="Times New Roman" w:cs="Times New Roman"/>
                <w:sz w:val="20"/>
                <w:szCs w:val="20"/>
              </w:rPr>
              <w:t>Career Pathway</w:t>
            </w:r>
          </w:p>
        </w:tc>
        <w:tc>
          <w:tcPr>
            <w:tcW w:w="7643" w:type="dxa"/>
          </w:tcPr>
          <w:p w:rsidR="006E0877" w:rsidRPr="006F03C7" w:rsidRDefault="006E0877" w:rsidP="000C3B71">
            <w:pPr>
              <w:rPr>
                <w:rFonts w:ascii="Times New Roman" w:hAnsi="Times New Roman" w:cs="Times New Roman"/>
                <w:sz w:val="20"/>
                <w:szCs w:val="20"/>
                <w:highlight w:val="yellow"/>
              </w:rPr>
            </w:pPr>
            <w:r w:rsidRPr="006F03C7">
              <w:rPr>
                <w:rFonts w:ascii="Times New Roman" w:hAnsi="Times New Roman" w:cs="Times New Roman"/>
                <w:sz w:val="20"/>
                <w:szCs w:val="20"/>
              </w:rPr>
              <w:t>A career pathway represents a common set of skills and knowledge, both academic and technical, necessary to pursue a full range of career opportunities ranging from entry level to management, including technical and professional careers.</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Certification/Licensure</w:t>
            </w:r>
          </w:p>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Assessments</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Completion of certain skill sets and coursework enables students to participate in the Virginia Board of Education-approved assessments for industry certifications, state licenses, and/or occupational competency skills certifications. Students who earn these credentials are eligible to earn verified credits toward graduation requirements. Students are required to earn a Board-approved CTE credential to graduate with a Standard Diploma.</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Completer</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 xml:space="preserve">A CTE completer is a student who has met the requirements for a CTE concentration (sequence) and all requirements for high school graduation, or an approved alternative education program. </w:t>
            </w:r>
          </w:p>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NOTE: Students may take additional CTE courses that will enhance their career pathway goals.</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 xml:space="preserve">Concentration </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A concentration is a coherent sequence of state-approved courses as identified in the course listings within the web-based Administrative Planning Guide (APG).</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CTE Serving Division</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The “CTE Serving Division” is where a student was first reported with a CTE Finisher Code of 1 or 5 in the SRC.</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CTE Serving School</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 xml:space="preserve">The “CTE Serving School” is where a student was first reported with a CTE Finisher Code of 1 or 5 in the SRC. CTE Serving Schools can include Regional CTE Centers, Division-Level CTE Centers, Governor’s STEM Academies, and Governor’s Health Sciences Academies. </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CTE Data-Reporting School Year</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September 1 through August 31 (fall, spring, and summer).</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Enrollee</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An enrollee is a student in grades 6-12 who is enrolled in a state-approved CTE course.</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Finisher</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A finisher is a secondary (high school) student who has earned two or more standard credits for state-approved courses in a CTE program.</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Leaver</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A leaver is a secondary (high school) student who was enrolled in a CTE program and either transferred to another school or dropped out of school without graduating.</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Responsible Division</w:t>
            </w:r>
          </w:p>
        </w:tc>
        <w:tc>
          <w:tcPr>
            <w:tcW w:w="7643" w:type="dxa"/>
          </w:tcPr>
          <w:p w:rsidR="006E0877" w:rsidRPr="006F03C7" w:rsidRDefault="006E0877" w:rsidP="000C3B71">
            <w:pPr>
              <w:autoSpaceDE w:val="0"/>
              <w:autoSpaceDN w:val="0"/>
              <w:adjustRightInd w:val="0"/>
              <w:rPr>
                <w:rFonts w:ascii="Times New Roman" w:hAnsi="Times New Roman" w:cs="Times New Roman"/>
                <w:sz w:val="20"/>
                <w:szCs w:val="20"/>
              </w:rPr>
            </w:pPr>
            <w:r w:rsidRPr="006F03C7">
              <w:rPr>
                <w:rFonts w:ascii="Times New Roman" w:hAnsi="Times New Roman" w:cs="Times New Roman"/>
                <w:sz w:val="20"/>
                <w:szCs w:val="20"/>
              </w:rPr>
              <w:t xml:space="preserve">The “Responsible Division” is where (a) the student resides, (b) the student attends a school through open enrollment, </w:t>
            </w:r>
            <w:r w:rsidRPr="006F03C7">
              <w:rPr>
                <w:rFonts w:ascii="Times New Roman" w:hAnsi="Times New Roman" w:cs="Times New Roman"/>
                <w:i/>
                <w:sz w:val="20"/>
                <w:szCs w:val="20"/>
              </w:rPr>
              <w:t xml:space="preserve">or </w:t>
            </w:r>
            <w:r w:rsidRPr="006F03C7">
              <w:rPr>
                <w:rFonts w:ascii="Times New Roman" w:hAnsi="Times New Roman" w:cs="Times New Roman"/>
                <w:sz w:val="20"/>
                <w:szCs w:val="20"/>
              </w:rPr>
              <w:t>(c) tuition is waived.</w:t>
            </w:r>
          </w:p>
          <w:p w:rsidR="006E0877" w:rsidRPr="006F03C7" w:rsidRDefault="006E0877" w:rsidP="000C3B71">
            <w:pPr>
              <w:autoSpaceDE w:val="0"/>
              <w:autoSpaceDN w:val="0"/>
              <w:adjustRightInd w:val="0"/>
              <w:rPr>
                <w:rFonts w:ascii="Times New Roman" w:hAnsi="Times New Roman" w:cs="Times New Roman"/>
                <w:sz w:val="20"/>
                <w:szCs w:val="20"/>
              </w:rPr>
            </w:pPr>
            <w:r w:rsidRPr="006F03C7">
              <w:rPr>
                <w:rFonts w:ascii="Times New Roman" w:hAnsi="Times New Roman" w:cs="Times New Roman"/>
                <w:bCs/>
                <w:iCs/>
                <w:sz w:val="20"/>
                <w:szCs w:val="20"/>
              </w:rPr>
              <w:t>NOTE: The Responsible Division must report the records of students when the Serving Division number is greater than 218 or not equal to 900.</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Serving Division</w:t>
            </w:r>
          </w:p>
        </w:tc>
        <w:tc>
          <w:tcPr>
            <w:tcW w:w="7643" w:type="dxa"/>
          </w:tcPr>
          <w:p w:rsidR="006E0877" w:rsidRPr="006F03C7" w:rsidRDefault="006E0877" w:rsidP="000C3B71">
            <w:pPr>
              <w:autoSpaceDE w:val="0"/>
              <w:autoSpaceDN w:val="0"/>
              <w:adjustRightInd w:val="0"/>
              <w:rPr>
                <w:rFonts w:ascii="Times New Roman" w:hAnsi="Times New Roman" w:cs="Times New Roman"/>
                <w:sz w:val="20"/>
                <w:szCs w:val="20"/>
              </w:rPr>
            </w:pPr>
            <w:r w:rsidRPr="006F03C7">
              <w:rPr>
                <w:rFonts w:ascii="Times New Roman" w:hAnsi="Times New Roman" w:cs="Times New Roman"/>
                <w:sz w:val="20"/>
                <w:szCs w:val="20"/>
              </w:rPr>
              <w:t>The “Serving Division” is the division or agency that provides services to the student.</w:t>
            </w:r>
          </w:p>
          <w:p w:rsidR="006E0877" w:rsidRPr="006F03C7" w:rsidRDefault="006E0877" w:rsidP="000C3B71">
            <w:pPr>
              <w:autoSpaceDE w:val="0"/>
              <w:autoSpaceDN w:val="0"/>
              <w:adjustRightInd w:val="0"/>
              <w:rPr>
                <w:rFonts w:ascii="Times New Roman" w:hAnsi="Times New Roman" w:cs="Times New Roman"/>
                <w:sz w:val="20"/>
                <w:szCs w:val="20"/>
              </w:rPr>
            </w:pPr>
            <w:r w:rsidRPr="006F03C7">
              <w:rPr>
                <w:rFonts w:ascii="Times New Roman" w:hAnsi="Times New Roman" w:cs="Times New Roman"/>
                <w:bCs/>
                <w:iCs/>
                <w:sz w:val="20"/>
                <w:szCs w:val="20"/>
              </w:rPr>
              <w:t xml:space="preserve">NOTE: </w:t>
            </w:r>
            <w:r w:rsidRPr="006F03C7">
              <w:rPr>
                <w:rFonts w:ascii="Times New Roman" w:hAnsi="Times New Roman" w:cs="Times New Roman"/>
                <w:sz w:val="20"/>
                <w:szCs w:val="20"/>
              </w:rPr>
              <w:t>Only a division whose code number is less than or equal to 218, or is equal to 900, will submit a report to the VDOE. If the Serving Division number is greater than 218 or not equal to 900, the Responsible Division must report the records of those students.</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Special Populations</w:t>
            </w:r>
          </w:p>
        </w:tc>
        <w:tc>
          <w:tcPr>
            <w:tcW w:w="7643" w:type="dxa"/>
          </w:tcPr>
          <w:p w:rsidR="006E0877" w:rsidRPr="006F03C7" w:rsidRDefault="006E0877" w:rsidP="00E82894">
            <w:pPr>
              <w:rPr>
                <w:rFonts w:ascii="Times New Roman" w:hAnsi="Times New Roman" w:cs="Times New Roman"/>
                <w:sz w:val="20"/>
                <w:szCs w:val="20"/>
              </w:rPr>
            </w:pPr>
            <w:r w:rsidRPr="006F03C7">
              <w:rPr>
                <w:rFonts w:ascii="Times New Roman" w:hAnsi="Times New Roman" w:cs="Times New Roman"/>
                <w:sz w:val="20"/>
                <w:szCs w:val="20"/>
              </w:rPr>
              <w:t>Special populations are individuals with disabilities; individuals from economically disadvantaged families</w:t>
            </w:r>
            <w:r w:rsidR="00E82894">
              <w:rPr>
                <w:rFonts w:ascii="Times New Roman" w:hAnsi="Times New Roman" w:cs="Times New Roman"/>
                <w:sz w:val="20"/>
                <w:szCs w:val="20"/>
              </w:rPr>
              <w:t xml:space="preserve">; </w:t>
            </w:r>
            <w:r w:rsidRPr="006F03C7">
              <w:rPr>
                <w:rFonts w:ascii="Times New Roman" w:hAnsi="Times New Roman" w:cs="Times New Roman"/>
                <w:sz w:val="20"/>
                <w:szCs w:val="20"/>
              </w:rPr>
              <w:t xml:space="preserve">individuals preparing for nontraditional fields; single parents, including single pregnant women; </w:t>
            </w:r>
            <w:r w:rsidR="00E82894">
              <w:rPr>
                <w:rFonts w:ascii="Times New Roman" w:hAnsi="Times New Roman" w:cs="Times New Roman"/>
                <w:sz w:val="20"/>
                <w:szCs w:val="20"/>
              </w:rPr>
              <w:t>out-of-workforce individuals; English learners; homeless individual; youth in the foster care system; and youth with a parent in the military</w:t>
            </w:r>
            <w:r w:rsidRPr="006F03C7">
              <w:rPr>
                <w:rFonts w:ascii="Times New Roman" w:hAnsi="Times New Roman" w:cs="Times New Roman"/>
                <w:sz w:val="20"/>
                <w:szCs w:val="20"/>
              </w:rPr>
              <w:t>.</w:t>
            </w:r>
          </w:p>
        </w:tc>
      </w:tr>
      <w:tr w:rsidR="006E0877" w:rsidRPr="006F03C7" w:rsidTr="000C3B71">
        <w:tc>
          <w:tcPr>
            <w:tcW w:w="2455"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Specialization</w:t>
            </w:r>
          </w:p>
        </w:tc>
        <w:tc>
          <w:tcPr>
            <w:tcW w:w="7643" w:type="dxa"/>
          </w:tcPr>
          <w:p w:rsidR="006E0877" w:rsidRPr="006F03C7" w:rsidRDefault="006E0877" w:rsidP="000C3B71">
            <w:pPr>
              <w:rPr>
                <w:rFonts w:ascii="Times New Roman" w:hAnsi="Times New Roman" w:cs="Times New Roman"/>
                <w:sz w:val="20"/>
                <w:szCs w:val="20"/>
              </w:rPr>
            </w:pPr>
            <w:r w:rsidRPr="006F03C7">
              <w:rPr>
                <w:rFonts w:ascii="Times New Roman" w:hAnsi="Times New Roman" w:cs="Times New Roman"/>
                <w:sz w:val="20"/>
                <w:szCs w:val="20"/>
              </w:rPr>
              <w:t>A specialization is a student choice to take additional courses beyond a minimum completer course sequence in a specific career cluster area related to his/her career pathway.</w:t>
            </w:r>
          </w:p>
        </w:tc>
      </w:tr>
    </w:tbl>
    <w:p w:rsidR="006E0877" w:rsidRPr="006E0877" w:rsidRDefault="006E0877" w:rsidP="006E0877">
      <w:pPr>
        <w:spacing w:before="120" w:after="120"/>
        <w:rPr>
          <w:rFonts w:ascii="Times New Roman" w:hAnsi="Times New Roman" w:cs="Times New Roman"/>
          <w:szCs w:val="24"/>
        </w:rPr>
      </w:pPr>
    </w:p>
    <w:p w:rsidR="006E0877" w:rsidRPr="006E0877" w:rsidRDefault="006E0877">
      <w:pPr>
        <w:rPr>
          <w:rFonts w:ascii="Times New Roman" w:hAnsi="Times New Roman" w:cs="Times New Roman"/>
          <w:szCs w:val="24"/>
        </w:rPr>
      </w:pPr>
    </w:p>
    <w:sectPr w:rsidR="006E0877" w:rsidRPr="006E0877" w:rsidSect="006F03C7">
      <w:pgSz w:w="12240" w:h="15840"/>
      <w:pgMar w:top="1296"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C7" w:rsidRDefault="006F03C7" w:rsidP="006F03C7">
      <w:pPr>
        <w:spacing w:line="240" w:lineRule="auto"/>
      </w:pPr>
      <w:r>
        <w:separator/>
      </w:r>
    </w:p>
  </w:endnote>
  <w:endnote w:type="continuationSeparator" w:id="0">
    <w:p w:rsidR="006F03C7" w:rsidRDefault="006F03C7" w:rsidP="006F0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91502"/>
      <w:docPartObj>
        <w:docPartGallery w:val="Page Numbers (Bottom of Page)"/>
        <w:docPartUnique/>
      </w:docPartObj>
    </w:sdtPr>
    <w:sdtEndPr>
      <w:rPr>
        <w:rFonts w:ascii="Times New Roman" w:hAnsi="Times New Roman" w:cs="Times New Roman"/>
        <w:noProof/>
        <w:sz w:val="20"/>
        <w:szCs w:val="20"/>
      </w:rPr>
    </w:sdtEndPr>
    <w:sdtContent>
      <w:p w:rsidR="006F03C7" w:rsidRPr="006F03C7" w:rsidRDefault="006F03C7" w:rsidP="006F03C7">
        <w:pPr>
          <w:pStyle w:val="Footer"/>
          <w:jc w:val="right"/>
          <w:rPr>
            <w:rFonts w:ascii="Times New Roman" w:hAnsi="Times New Roman" w:cs="Times New Roman"/>
            <w:sz w:val="20"/>
            <w:szCs w:val="20"/>
          </w:rPr>
        </w:pPr>
        <w:r w:rsidRPr="006F03C7">
          <w:rPr>
            <w:rFonts w:ascii="Times New Roman" w:hAnsi="Times New Roman" w:cs="Times New Roman"/>
            <w:sz w:val="20"/>
            <w:szCs w:val="20"/>
          </w:rPr>
          <w:fldChar w:fldCharType="begin"/>
        </w:r>
        <w:r w:rsidRPr="006F03C7">
          <w:rPr>
            <w:rFonts w:ascii="Times New Roman" w:hAnsi="Times New Roman" w:cs="Times New Roman"/>
            <w:sz w:val="20"/>
            <w:szCs w:val="20"/>
          </w:rPr>
          <w:instrText xml:space="preserve"> PAGE   \* MERGEFORMAT </w:instrText>
        </w:r>
        <w:r w:rsidRPr="006F03C7">
          <w:rPr>
            <w:rFonts w:ascii="Times New Roman" w:hAnsi="Times New Roman" w:cs="Times New Roman"/>
            <w:sz w:val="20"/>
            <w:szCs w:val="20"/>
          </w:rPr>
          <w:fldChar w:fldCharType="separate"/>
        </w:r>
        <w:r w:rsidR="00783942">
          <w:rPr>
            <w:rFonts w:ascii="Times New Roman" w:hAnsi="Times New Roman" w:cs="Times New Roman"/>
            <w:noProof/>
            <w:sz w:val="20"/>
            <w:szCs w:val="20"/>
          </w:rPr>
          <w:t>4</w:t>
        </w:r>
        <w:r w:rsidRPr="006F03C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C7" w:rsidRDefault="006F03C7" w:rsidP="006F03C7">
      <w:pPr>
        <w:spacing w:line="240" w:lineRule="auto"/>
      </w:pPr>
      <w:r>
        <w:separator/>
      </w:r>
    </w:p>
  </w:footnote>
  <w:footnote w:type="continuationSeparator" w:id="0">
    <w:p w:rsidR="006F03C7" w:rsidRDefault="006F03C7" w:rsidP="006F03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126"/>
    <w:multiLevelType w:val="hybridMultilevel"/>
    <w:tmpl w:val="15608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484897"/>
    <w:multiLevelType w:val="hybridMultilevel"/>
    <w:tmpl w:val="55726790"/>
    <w:lvl w:ilvl="0" w:tplc="77020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35C35"/>
    <w:multiLevelType w:val="hybridMultilevel"/>
    <w:tmpl w:val="441A1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771F6C"/>
    <w:multiLevelType w:val="hybridMultilevel"/>
    <w:tmpl w:val="33406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BF"/>
    <w:rsid w:val="0001693E"/>
    <w:rsid w:val="000229E1"/>
    <w:rsid w:val="000252FB"/>
    <w:rsid w:val="00033F8E"/>
    <w:rsid w:val="00070806"/>
    <w:rsid w:val="000A4FCD"/>
    <w:rsid w:val="000A5086"/>
    <w:rsid w:val="000B4395"/>
    <w:rsid w:val="000C0499"/>
    <w:rsid w:val="001158D7"/>
    <w:rsid w:val="00122D81"/>
    <w:rsid w:val="00143D10"/>
    <w:rsid w:val="00152A2B"/>
    <w:rsid w:val="001B04CA"/>
    <w:rsid w:val="001C2A0C"/>
    <w:rsid w:val="00236761"/>
    <w:rsid w:val="00266232"/>
    <w:rsid w:val="0027614A"/>
    <w:rsid w:val="002E7C16"/>
    <w:rsid w:val="00354AE5"/>
    <w:rsid w:val="003B7547"/>
    <w:rsid w:val="003F4CE3"/>
    <w:rsid w:val="00410976"/>
    <w:rsid w:val="00483C2F"/>
    <w:rsid w:val="004F7371"/>
    <w:rsid w:val="0054259A"/>
    <w:rsid w:val="005A6D68"/>
    <w:rsid w:val="00605A77"/>
    <w:rsid w:val="00615BA7"/>
    <w:rsid w:val="00653532"/>
    <w:rsid w:val="0065686A"/>
    <w:rsid w:val="006B7772"/>
    <w:rsid w:val="006E0877"/>
    <w:rsid w:val="006E48BF"/>
    <w:rsid w:val="006F03C7"/>
    <w:rsid w:val="006F1DAA"/>
    <w:rsid w:val="00723462"/>
    <w:rsid w:val="00731C01"/>
    <w:rsid w:val="00765C68"/>
    <w:rsid w:val="00783942"/>
    <w:rsid w:val="00792931"/>
    <w:rsid w:val="007C7038"/>
    <w:rsid w:val="00802B68"/>
    <w:rsid w:val="0085293E"/>
    <w:rsid w:val="008B4CD5"/>
    <w:rsid w:val="00923916"/>
    <w:rsid w:val="00944461"/>
    <w:rsid w:val="009653A8"/>
    <w:rsid w:val="00A61358"/>
    <w:rsid w:val="00A868C5"/>
    <w:rsid w:val="00AB15B3"/>
    <w:rsid w:val="00AF7566"/>
    <w:rsid w:val="00B22525"/>
    <w:rsid w:val="00B24483"/>
    <w:rsid w:val="00B32B1D"/>
    <w:rsid w:val="00B45BBC"/>
    <w:rsid w:val="00BA7F81"/>
    <w:rsid w:val="00BC4338"/>
    <w:rsid w:val="00C0145A"/>
    <w:rsid w:val="00C465C7"/>
    <w:rsid w:val="00C82462"/>
    <w:rsid w:val="00C83584"/>
    <w:rsid w:val="00CA3374"/>
    <w:rsid w:val="00D30697"/>
    <w:rsid w:val="00D622CA"/>
    <w:rsid w:val="00E34177"/>
    <w:rsid w:val="00E70D47"/>
    <w:rsid w:val="00E71711"/>
    <w:rsid w:val="00E82894"/>
    <w:rsid w:val="00E978FC"/>
    <w:rsid w:val="00EF5836"/>
    <w:rsid w:val="00F13C0C"/>
    <w:rsid w:val="00F31DB3"/>
    <w:rsid w:val="00F34F9E"/>
    <w:rsid w:val="00F534BF"/>
    <w:rsid w:val="00F74D41"/>
    <w:rsid w:val="00F842D4"/>
    <w:rsid w:val="00FE13FE"/>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D7566-6900-4943-8614-5E7ECFD7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BF"/>
  </w:style>
  <w:style w:type="paragraph" w:styleId="Heading1">
    <w:name w:val="heading 1"/>
    <w:basedOn w:val="Normal"/>
    <w:next w:val="Normal"/>
    <w:link w:val="Heading1Char"/>
    <w:qFormat/>
    <w:rsid w:val="006E48BF"/>
    <w:pPr>
      <w:keepNext/>
      <w:spacing w:line="240" w:lineRule="auto"/>
      <w:jc w:val="center"/>
      <w:outlineLvl w:val="0"/>
    </w:pPr>
    <w:rPr>
      <w:rFonts w:ascii="Times New Roman" w:eastAsia="Times New Roman" w:hAnsi="Times New Roman" w:cs="Times New Roman"/>
      <w:b/>
      <w:sz w:val="28"/>
      <w:szCs w:val="20"/>
    </w:rPr>
  </w:style>
  <w:style w:type="paragraph" w:styleId="Heading2">
    <w:name w:val="heading 2"/>
    <w:basedOn w:val="Heading3"/>
    <w:next w:val="Normal"/>
    <w:link w:val="Heading2Char"/>
    <w:uiPriority w:val="9"/>
    <w:unhideWhenUsed/>
    <w:qFormat/>
    <w:rsid w:val="00FE13FE"/>
    <w:pPr>
      <w:spacing w:before="0" w:line="240" w:lineRule="auto"/>
      <w:ind w:left="1440" w:hanging="1440"/>
      <w:outlineLvl w:val="1"/>
    </w:pPr>
    <w:rPr>
      <w:rFonts w:ascii="Times New Roman" w:eastAsia="Times New Roman" w:hAnsi="Times New Roman" w:cs="Times New Roman"/>
      <w:color w:val="auto"/>
      <w:szCs w:val="24"/>
    </w:rPr>
  </w:style>
  <w:style w:type="paragraph" w:styleId="Heading3">
    <w:name w:val="heading 3"/>
    <w:basedOn w:val="Normal"/>
    <w:next w:val="Normal"/>
    <w:link w:val="Heading3Char"/>
    <w:uiPriority w:val="9"/>
    <w:semiHidden/>
    <w:unhideWhenUsed/>
    <w:qFormat/>
    <w:rsid w:val="006E48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BF"/>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6E48BF"/>
    <w:rPr>
      <w:rFonts w:asciiTheme="majorHAnsi" w:eastAsiaTheme="majorEastAsia" w:hAnsiTheme="majorHAnsi" w:cstheme="majorBidi"/>
      <w:b/>
      <w:bCs/>
      <w:color w:val="4F81BD" w:themeColor="accent1"/>
    </w:rPr>
  </w:style>
  <w:style w:type="paragraph" w:styleId="NormalWeb">
    <w:name w:val="Normal (Web)"/>
    <w:basedOn w:val="Normal"/>
    <w:rsid w:val="006E48B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765C68"/>
    <w:rPr>
      <w:color w:val="0000FF" w:themeColor="hyperlink"/>
      <w:u w:val="single"/>
    </w:rPr>
  </w:style>
  <w:style w:type="character" w:styleId="FollowedHyperlink">
    <w:name w:val="FollowedHyperlink"/>
    <w:basedOn w:val="DefaultParagraphFont"/>
    <w:uiPriority w:val="99"/>
    <w:semiHidden/>
    <w:unhideWhenUsed/>
    <w:rsid w:val="00152A2B"/>
    <w:rPr>
      <w:color w:val="800080" w:themeColor="followedHyperlink"/>
      <w:u w:val="single"/>
    </w:rPr>
  </w:style>
  <w:style w:type="paragraph" w:styleId="ListParagraph">
    <w:name w:val="List Paragraph"/>
    <w:basedOn w:val="Normal"/>
    <w:uiPriority w:val="34"/>
    <w:qFormat/>
    <w:rsid w:val="00F842D4"/>
    <w:pPr>
      <w:ind w:left="720"/>
      <w:contextualSpacing/>
    </w:pPr>
  </w:style>
  <w:style w:type="paragraph" w:styleId="BalloonText">
    <w:name w:val="Balloon Text"/>
    <w:basedOn w:val="Normal"/>
    <w:link w:val="BalloonTextChar"/>
    <w:uiPriority w:val="99"/>
    <w:semiHidden/>
    <w:unhideWhenUsed/>
    <w:rsid w:val="00F13C0C"/>
    <w:pPr>
      <w:spacing w:line="240" w:lineRule="auto"/>
    </w:pPr>
    <w:rPr>
      <w:sz w:val="16"/>
      <w:szCs w:val="16"/>
    </w:rPr>
  </w:style>
  <w:style w:type="character" w:customStyle="1" w:styleId="BalloonTextChar">
    <w:name w:val="Balloon Text Char"/>
    <w:basedOn w:val="DefaultParagraphFont"/>
    <w:link w:val="BalloonText"/>
    <w:uiPriority w:val="99"/>
    <w:semiHidden/>
    <w:rsid w:val="00F13C0C"/>
    <w:rPr>
      <w:sz w:val="16"/>
      <w:szCs w:val="16"/>
    </w:rPr>
  </w:style>
  <w:style w:type="character" w:customStyle="1" w:styleId="Heading2Char">
    <w:name w:val="Heading 2 Char"/>
    <w:basedOn w:val="DefaultParagraphFont"/>
    <w:link w:val="Heading2"/>
    <w:uiPriority w:val="9"/>
    <w:rsid w:val="00FE13FE"/>
    <w:rPr>
      <w:rFonts w:ascii="Times New Roman" w:eastAsia="Times New Roman" w:hAnsi="Times New Roman" w:cs="Times New Roman"/>
      <w:b/>
      <w:bCs/>
      <w:szCs w:val="24"/>
    </w:rPr>
  </w:style>
  <w:style w:type="table" w:customStyle="1" w:styleId="TableGrid1">
    <w:name w:val="Table Grid1"/>
    <w:basedOn w:val="TableNormal"/>
    <w:next w:val="TableGrid"/>
    <w:uiPriority w:val="59"/>
    <w:rsid w:val="006E0877"/>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08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3C7"/>
    <w:pPr>
      <w:tabs>
        <w:tab w:val="center" w:pos="4680"/>
        <w:tab w:val="right" w:pos="9360"/>
      </w:tabs>
      <w:spacing w:line="240" w:lineRule="auto"/>
    </w:pPr>
  </w:style>
  <w:style w:type="character" w:customStyle="1" w:styleId="HeaderChar">
    <w:name w:val="Header Char"/>
    <w:basedOn w:val="DefaultParagraphFont"/>
    <w:link w:val="Header"/>
    <w:uiPriority w:val="99"/>
    <w:rsid w:val="006F03C7"/>
  </w:style>
  <w:style w:type="paragraph" w:styleId="Footer">
    <w:name w:val="footer"/>
    <w:basedOn w:val="Normal"/>
    <w:link w:val="FooterChar"/>
    <w:uiPriority w:val="99"/>
    <w:unhideWhenUsed/>
    <w:rsid w:val="006F03C7"/>
    <w:pPr>
      <w:tabs>
        <w:tab w:val="center" w:pos="4680"/>
        <w:tab w:val="right" w:pos="9360"/>
      </w:tabs>
      <w:spacing w:line="240" w:lineRule="auto"/>
    </w:pPr>
  </w:style>
  <w:style w:type="character" w:customStyle="1" w:styleId="FooterChar">
    <w:name w:val="Footer Char"/>
    <w:basedOn w:val="DefaultParagraphFont"/>
    <w:link w:val="Footer"/>
    <w:uiPriority w:val="99"/>
    <w:rsid w:val="006F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10990</Characters>
  <Application>Microsoft Office Word</Application>
  <DocSecurity>0</DocSecurity>
  <Lines>268</Lines>
  <Paragraphs>185</Paragraphs>
  <ScaleCrop>false</ScaleCrop>
  <HeadingPairs>
    <vt:vector size="2" baseType="variant">
      <vt:variant>
        <vt:lpstr>Title</vt:lpstr>
      </vt:variant>
      <vt:variant>
        <vt:i4>1</vt:i4>
      </vt:variant>
    </vt:vector>
  </HeadingPairs>
  <TitlesOfParts>
    <vt:vector size="1" baseType="lpstr">
      <vt:lpstr>CTE Director's Memo XXX-18</vt:lpstr>
    </vt:vector>
  </TitlesOfParts>
  <Company>Virginia IT Infrastructure Partnership</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XXX-18</dc:title>
  <dc:creator>olt11573</dc:creator>
  <cp:lastModifiedBy>VITA Program</cp:lastModifiedBy>
  <cp:revision>2</cp:revision>
  <cp:lastPrinted>2019-09-27T21:12:00Z</cp:lastPrinted>
  <dcterms:created xsi:type="dcterms:W3CDTF">2019-09-30T15:21:00Z</dcterms:created>
  <dcterms:modified xsi:type="dcterms:W3CDTF">2019-09-30T15:21:00Z</dcterms:modified>
</cp:coreProperties>
</file>