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6951" w14:textId="7DCF17B5" w:rsidR="00000466" w:rsidRPr="00000466" w:rsidRDefault="00000466" w:rsidP="00000466">
      <w:pPr>
        <w:pStyle w:val="Heading3"/>
        <w:rPr>
          <w:b w:val="0"/>
          <w:i/>
          <w:sz w:val="28"/>
          <w:szCs w:val="28"/>
        </w:rPr>
      </w:pPr>
      <w:bookmarkStart w:id="0" w:name="_Toc175632766"/>
      <w:r w:rsidRPr="00000466">
        <w:rPr>
          <w:b w:val="0"/>
          <w:i/>
          <w:sz w:val="28"/>
          <w:szCs w:val="28"/>
        </w:rPr>
        <w:t>AR Remediation Plan –Volume and Surface Area</w:t>
      </w:r>
    </w:p>
    <w:p w14:paraId="0E0C8E93" w14:textId="677567F7" w:rsidR="005814AB" w:rsidRPr="005814AB" w:rsidRDefault="005814AB" w:rsidP="005814AB">
      <w:pPr>
        <w:pStyle w:val="Heading3"/>
        <w:jc w:val="center"/>
        <w:rPr>
          <w:sz w:val="28"/>
          <w:szCs w:val="28"/>
        </w:rPr>
      </w:pPr>
      <w:r>
        <w:rPr>
          <w:sz w:val="28"/>
          <w:szCs w:val="28"/>
        </w:rPr>
        <w:t>Relational Solids</w:t>
      </w:r>
    </w:p>
    <w:p w14:paraId="5D439EAB" w14:textId="4C846467" w:rsidR="008E2707" w:rsidRPr="005814AB" w:rsidRDefault="008E2707" w:rsidP="0090751A">
      <w:pPr>
        <w:pStyle w:val="Heading3"/>
      </w:pPr>
      <w:r w:rsidRPr="005814AB">
        <w:t>STRAND:</w:t>
      </w:r>
      <w:r w:rsidR="006E1294" w:rsidRPr="005814AB">
        <w:t xml:space="preserve">  </w:t>
      </w:r>
      <w:r w:rsidR="00E719AF" w:rsidRPr="005814AB">
        <w:t>Measurement and Geometry</w:t>
      </w:r>
    </w:p>
    <w:p w14:paraId="062ADD1E" w14:textId="1A55E08D" w:rsidR="008E2707" w:rsidRPr="005814AB" w:rsidRDefault="008E2707" w:rsidP="0090751A">
      <w:pPr>
        <w:pStyle w:val="Heading3"/>
      </w:pPr>
      <w:r w:rsidRPr="005814AB">
        <w:t>STRAND CONCEPT:</w:t>
      </w:r>
      <w:r w:rsidR="006E1294" w:rsidRPr="005814AB">
        <w:t xml:space="preserve">  </w:t>
      </w:r>
      <w:r w:rsidR="00E719AF" w:rsidRPr="005814AB">
        <w:t>Volume and Surface Area</w:t>
      </w:r>
    </w:p>
    <w:p w14:paraId="357176F4" w14:textId="5F4AF6B3" w:rsidR="004E43DC" w:rsidRPr="005814AB" w:rsidRDefault="00AC1CDA" w:rsidP="0090751A">
      <w:pPr>
        <w:pStyle w:val="Heading3"/>
      </w:pPr>
      <w:r w:rsidRPr="005814AB">
        <w:t>SOL</w:t>
      </w:r>
      <w:r w:rsidR="00B44791" w:rsidRPr="005814AB">
        <w:t xml:space="preserve"> </w:t>
      </w:r>
      <w:bookmarkEnd w:id="0"/>
      <w:r w:rsidR="00E719AF" w:rsidRPr="005814AB">
        <w:t>7.4b, 8.6a</w:t>
      </w:r>
    </w:p>
    <w:p w14:paraId="5CED4B2D" w14:textId="1ADF81B6" w:rsidR="004E43DC" w:rsidRPr="005814AB" w:rsidRDefault="000E173E" w:rsidP="0083755B">
      <w:pPr>
        <w:pStyle w:val="Heading4"/>
      </w:pPr>
      <w:r w:rsidRPr="005814AB">
        <w:t xml:space="preserve">Remediation Plan </w:t>
      </w:r>
      <w:r w:rsidR="004E43DC" w:rsidRPr="005814AB">
        <w:t>Summary</w:t>
      </w:r>
    </w:p>
    <w:p w14:paraId="53735C6C" w14:textId="0EDA25E0" w:rsidR="00E856BF" w:rsidRPr="005814AB" w:rsidRDefault="00E856BF" w:rsidP="00E856BF">
      <w:pPr>
        <w:rPr>
          <w:rFonts w:asciiTheme="minorHAnsi" w:hAnsiTheme="minorHAnsi"/>
          <w:sz w:val="24"/>
          <w:szCs w:val="24"/>
        </w:rPr>
      </w:pPr>
      <w:r w:rsidRPr="005814AB">
        <w:rPr>
          <w:rFonts w:asciiTheme="minorHAnsi" w:hAnsiTheme="minorHAnsi"/>
          <w:sz w:val="24"/>
          <w:szCs w:val="24"/>
        </w:rPr>
        <w:t>Students use mathematical reasoning to compute the volume of prisms, cylinders, cones and square pyramids, using formulas.</w:t>
      </w:r>
    </w:p>
    <w:p w14:paraId="502E29EB" w14:textId="527EE5CE" w:rsidR="0052357F" w:rsidRPr="005814AB" w:rsidRDefault="0052357F" w:rsidP="0052357F">
      <w:pPr>
        <w:pStyle w:val="Heading4"/>
      </w:pPr>
      <w:r w:rsidRPr="005814AB">
        <w:t>Common Misconceptions</w:t>
      </w:r>
    </w:p>
    <w:p w14:paraId="1B5CCAE6" w14:textId="36EA3EAE" w:rsidR="0052357F" w:rsidRPr="005814AB" w:rsidRDefault="00E719AF" w:rsidP="004E43DC">
      <w:pPr>
        <w:rPr>
          <w:rFonts w:ascii="Calibri" w:hAnsi="Calibri" w:cs="Calibri"/>
          <w:sz w:val="24"/>
          <w:szCs w:val="24"/>
        </w:rPr>
      </w:pPr>
      <w:r w:rsidRPr="005814AB">
        <w:rPr>
          <w:rFonts w:ascii="Calibri" w:hAnsi="Calibri" w:cs="Calibri"/>
          <w:sz w:val="24"/>
          <w:szCs w:val="24"/>
        </w:rPr>
        <w:t xml:space="preserve">Students have a difficult time </w:t>
      </w:r>
      <w:r w:rsidR="00E856BF" w:rsidRPr="005814AB">
        <w:rPr>
          <w:rFonts w:ascii="Calibri" w:hAnsi="Calibri" w:cs="Calibri"/>
          <w:sz w:val="24"/>
          <w:szCs w:val="24"/>
        </w:rPr>
        <w:t>differentiating between prisms and pyramids. They have difficulty differentiating between area and perimeter and volume and surface area. Students use the units for measurement incorrectly.</w:t>
      </w:r>
    </w:p>
    <w:p w14:paraId="77512882" w14:textId="77777777" w:rsidR="004E43DC" w:rsidRPr="005814AB" w:rsidRDefault="004E43DC" w:rsidP="0083755B">
      <w:pPr>
        <w:pStyle w:val="Heading4"/>
      </w:pPr>
      <w:r w:rsidRPr="005814AB">
        <w:t>Materials</w:t>
      </w:r>
    </w:p>
    <w:p w14:paraId="09EF5771" w14:textId="77777777" w:rsidR="00E856BF" w:rsidRPr="005814AB" w:rsidRDefault="00E856BF" w:rsidP="00E856BF">
      <w:pPr>
        <w:pStyle w:val="ListParagraph"/>
        <w:numPr>
          <w:ilvl w:val="0"/>
          <w:numId w:val="41"/>
        </w:numPr>
        <w:rPr>
          <w:rFonts w:asciiTheme="minorHAnsi" w:hAnsiTheme="minorHAnsi"/>
          <w:sz w:val="24"/>
          <w:szCs w:val="24"/>
        </w:rPr>
      </w:pPr>
      <w:r w:rsidRPr="005814AB">
        <w:rPr>
          <w:rFonts w:asciiTheme="minorHAnsi" w:hAnsiTheme="minorHAnsi"/>
          <w:sz w:val="24"/>
          <w:szCs w:val="24"/>
        </w:rPr>
        <w:t>Relational solids (having the same height and congruent bases) for a cylinder and a cone and for a prism and a square pyramid</w:t>
      </w:r>
    </w:p>
    <w:p w14:paraId="3DFA3AFB" w14:textId="77777777" w:rsidR="00E856BF" w:rsidRPr="005814AB" w:rsidRDefault="00E856BF" w:rsidP="00E856BF">
      <w:pPr>
        <w:pStyle w:val="ListParagraph"/>
        <w:numPr>
          <w:ilvl w:val="0"/>
          <w:numId w:val="41"/>
        </w:numPr>
        <w:rPr>
          <w:rFonts w:asciiTheme="minorHAnsi" w:hAnsiTheme="minorHAnsi"/>
          <w:sz w:val="24"/>
          <w:szCs w:val="24"/>
        </w:rPr>
      </w:pPr>
      <w:r w:rsidRPr="005814AB">
        <w:rPr>
          <w:rFonts w:asciiTheme="minorHAnsi" w:hAnsiTheme="minorHAnsi"/>
          <w:sz w:val="24"/>
          <w:szCs w:val="24"/>
        </w:rPr>
        <w:t>Rice or water</w:t>
      </w:r>
    </w:p>
    <w:p w14:paraId="43B57A1D" w14:textId="77777777" w:rsidR="00E856BF" w:rsidRPr="005814AB" w:rsidRDefault="00E856BF" w:rsidP="00E856BF">
      <w:pPr>
        <w:pStyle w:val="ListParagraph"/>
        <w:numPr>
          <w:ilvl w:val="0"/>
          <w:numId w:val="41"/>
        </w:numPr>
        <w:rPr>
          <w:rFonts w:asciiTheme="minorHAnsi" w:hAnsiTheme="minorHAnsi" w:cs="Arial"/>
          <w:sz w:val="24"/>
          <w:szCs w:val="24"/>
        </w:rPr>
      </w:pPr>
      <w:r w:rsidRPr="005814AB">
        <w:rPr>
          <w:rFonts w:asciiTheme="minorHAnsi" w:hAnsiTheme="minorHAnsi" w:cs="Arial"/>
          <w:sz w:val="24"/>
          <w:szCs w:val="24"/>
        </w:rPr>
        <w:t>Copies of the Grade 8 Mathematics Formula Sheet</w:t>
      </w:r>
    </w:p>
    <w:p w14:paraId="241A7697" w14:textId="77777777" w:rsidR="00E856BF" w:rsidRPr="005814AB" w:rsidRDefault="00E856BF" w:rsidP="00E856BF">
      <w:pPr>
        <w:pStyle w:val="ListParagraph"/>
        <w:numPr>
          <w:ilvl w:val="0"/>
          <w:numId w:val="41"/>
        </w:numPr>
        <w:rPr>
          <w:rFonts w:asciiTheme="minorHAnsi" w:hAnsiTheme="minorHAnsi" w:cs="Arial"/>
          <w:sz w:val="24"/>
          <w:szCs w:val="24"/>
        </w:rPr>
      </w:pPr>
      <w:r w:rsidRPr="005814AB">
        <w:rPr>
          <w:rFonts w:asciiTheme="minorHAnsi" w:hAnsiTheme="minorHAnsi" w:cs="Arial"/>
          <w:sz w:val="24"/>
          <w:szCs w:val="24"/>
        </w:rPr>
        <w:t>Copies of the attached “Finding Volumes of Solids” worksheet</w:t>
      </w:r>
    </w:p>
    <w:p w14:paraId="7F8C054C" w14:textId="5C7E1053" w:rsidR="00B44791" w:rsidRPr="005814AB" w:rsidRDefault="00B44791" w:rsidP="00E856BF">
      <w:pPr>
        <w:pStyle w:val="ListParagraph"/>
        <w:ind w:left="825"/>
        <w:rPr>
          <w:rFonts w:ascii="Calibri" w:hAnsi="Calibri" w:cs="Calibri"/>
          <w:color w:val="FF0000"/>
          <w:sz w:val="24"/>
          <w:szCs w:val="24"/>
        </w:rPr>
      </w:pPr>
    </w:p>
    <w:p w14:paraId="39B44166" w14:textId="77777777" w:rsidR="00B44791" w:rsidRPr="005814AB" w:rsidRDefault="0083755B" w:rsidP="0083755B">
      <w:pPr>
        <w:pStyle w:val="Heading4"/>
      </w:pPr>
      <w:r w:rsidRPr="005814AB">
        <w:t>Introductory Activity</w:t>
      </w:r>
    </w:p>
    <w:p w14:paraId="4EBD38B8" w14:textId="7823B33F" w:rsidR="00E856BF" w:rsidRPr="005814AB" w:rsidRDefault="00E856BF" w:rsidP="00E856BF">
      <w:pPr>
        <w:pStyle w:val="ListNumber"/>
        <w:numPr>
          <w:ilvl w:val="0"/>
          <w:numId w:val="42"/>
        </w:numPr>
        <w:rPr>
          <w:rFonts w:asciiTheme="minorHAnsi" w:hAnsiTheme="minorHAnsi" w:cs="Arial"/>
          <w:sz w:val="24"/>
          <w:szCs w:val="24"/>
        </w:rPr>
      </w:pPr>
      <w:r w:rsidRPr="005814AB">
        <w:rPr>
          <w:rFonts w:asciiTheme="minorHAnsi" w:hAnsiTheme="minorHAnsi" w:cs="Arial"/>
          <w:sz w:val="24"/>
          <w:szCs w:val="24"/>
        </w:rPr>
        <w:t xml:space="preserve">Put on display the relational solids listed above. Ask students how the prism and the square pyramid, which have the same height and congruent bases, compare in volume. Are they the same? Is the volume of one greater? If so, how much greater? Ask students how they could check the two volumes. They may suggest filling the solids with rice or water and measuring the two quantities in order to compare them. </w:t>
      </w:r>
      <w:r w:rsidR="0096185C" w:rsidRPr="005814AB">
        <w:rPr>
          <w:rFonts w:asciiTheme="minorHAnsi" w:hAnsiTheme="minorHAnsi" w:cs="Arial"/>
          <w:sz w:val="24"/>
          <w:szCs w:val="24"/>
        </w:rPr>
        <w:t xml:space="preserve">Ask them what unit was used in filling up the solids? Was it cups? </w:t>
      </w:r>
      <w:r w:rsidRPr="005814AB">
        <w:rPr>
          <w:rFonts w:asciiTheme="minorHAnsi" w:hAnsiTheme="minorHAnsi" w:cs="Arial"/>
          <w:sz w:val="24"/>
          <w:szCs w:val="24"/>
        </w:rPr>
        <w:t xml:space="preserve"> </w:t>
      </w:r>
      <w:r w:rsidR="0096185C" w:rsidRPr="005814AB">
        <w:rPr>
          <w:rFonts w:asciiTheme="minorHAnsi" w:hAnsiTheme="minorHAnsi" w:cs="Arial"/>
          <w:sz w:val="24"/>
          <w:szCs w:val="24"/>
        </w:rPr>
        <w:t xml:space="preserve">Then discuss how volume is not always measured in cups, solid volume is measured in cubic units based on measurement. </w:t>
      </w:r>
    </w:p>
    <w:p w14:paraId="4C35BB3E" w14:textId="77777777" w:rsidR="00E856BF" w:rsidRPr="005814AB" w:rsidRDefault="00E856BF" w:rsidP="00E856BF">
      <w:pPr>
        <w:pStyle w:val="ListNumber"/>
        <w:numPr>
          <w:ilvl w:val="0"/>
          <w:numId w:val="42"/>
        </w:numPr>
        <w:rPr>
          <w:rFonts w:asciiTheme="minorHAnsi" w:hAnsiTheme="minorHAnsi" w:cs="Arial"/>
          <w:sz w:val="24"/>
          <w:szCs w:val="24"/>
        </w:rPr>
      </w:pPr>
      <w:r w:rsidRPr="005814AB">
        <w:rPr>
          <w:rFonts w:asciiTheme="minorHAnsi" w:hAnsiTheme="minorHAnsi" w:cs="Arial"/>
          <w:sz w:val="24"/>
          <w:szCs w:val="24"/>
        </w:rPr>
        <w:t>Repeat this process with the cylinder and cone.</w:t>
      </w:r>
    </w:p>
    <w:p w14:paraId="445D0F8B" w14:textId="77777777" w:rsidR="00E856BF" w:rsidRPr="005814AB" w:rsidRDefault="00E856BF" w:rsidP="00E856BF">
      <w:pPr>
        <w:pStyle w:val="ListNumber"/>
        <w:numPr>
          <w:ilvl w:val="0"/>
          <w:numId w:val="42"/>
        </w:numPr>
        <w:rPr>
          <w:rFonts w:asciiTheme="minorHAnsi" w:hAnsiTheme="minorHAnsi" w:cs="Arial"/>
          <w:sz w:val="24"/>
          <w:szCs w:val="24"/>
        </w:rPr>
      </w:pPr>
      <w:r w:rsidRPr="005814AB">
        <w:rPr>
          <w:rFonts w:asciiTheme="minorHAnsi" w:hAnsiTheme="minorHAnsi" w:cs="Arial"/>
          <w:sz w:val="24"/>
          <w:szCs w:val="24"/>
        </w:rPr>
        <w:t xml:space="preserve">Have students write a summary statement about the relationship between the volumes </w:t>
      </w:r>
      <w:proofErr w:type="gramStart"/>
      <w:r w:rsidRPr="005814AB">
        <w:rPr>
          <w:rFonts w:asciiTheme="minorHAnsi" w:hAnsiTheme="minorHAnsi" w:cs="Arial"/>
          <w:sz w:val="24"/>
          <w:szCs w:val="24"/>
        </w:rPr>
        <w:t>of</w:t>
      </w:r>
      <w:proofErr w:type="gramEnd"/>
      <w:r w:rsidRPr="005814AB">
        <w:rPr>
          <w:rFonts w:asciiTheme="minorHAnsi" w:hAnsiTheme="minorHAnsi" w:cs="Arial"/>
          <w:sz w:val="24"/>
          <w:szCs w:val="24"/>
        </w:rPr>
        <w:t xml:space="preserve"> a prism and a square pyramid and between the volumes of a cylinder and a cone.</w:t>
      </w:r>
    </w:p>
    <w:p w14:paraId="1C8CC2B5" w14:textId="1D56EAB6" w:rsidR="004E43DC" w:rsidRPr="005814AB" w:rsidRDefault="004E43DC" w:rsidP="007A523C">
      <w:pPr>
        <w:pStyle w:val="ListParagraph"/>
        <w:rPr>
          <w:rFonts w:ascii="Calibri" w:hAnsi="Calibri" w:cs="Calibri"/>
          <w:color w:val="FF0000"/>
          <w:sz w:val="24"/>
          <w:szCs w:val="24"/>
        </w:rPr>
      </w:pPr>
    </w:p>
    <w:p w14:paraId="5F165937" w14:textId="77777777" w:rsidR="004E43DC" w:rsidRPr="005814AB" w:rsidRDefault="0083755B" w:rsidP="0083755B">
      <w:pPr>
        <w:pStyle w:val="Heading4"/>
      </w:pPr>
      <w:r w:rsidRPr="005814AB">
        <w:t>Plan for Instruction</w:t>
      </w:r>
    </w:p>
    <w:p w14:paraId="0E516185" w14:textId="77777777" w:rsidR="00E856BF" w:rsidRPr="005814AB" w:rsidRDefault="00E856BF" w:rsidP="00E856BF">
      <w:pPr>
        <w:pStyle w:val="ListNumber"/>
        <w:numPr>
          <w:ilvl w:val="0"/>
          <w:numId w:val="43"/>
        </w:numPr>
        <w:rPr>
          <w:rFonts w:asciiTheme="minorHAnsi" w:hAnsiTheme="minorHAnsi"/>
          <w:sz w:val="24"/>
          <w:szCs w:val="24"/>
        </w:rPr>
      </w:pPr>
      <w:r w:rsidRPr="005814AB">
        <w:rPr>
          <w:rFonts w:asciiTheme="minorHAnsi" w:hAnsiTheme="minorHAnsi"/>
          <w:sz w:val="24"/>
          <w:szCs w:val="24"/>
        </w:rPr>
        <w:t>Move from estimating such volumes to finding them exactly. Hand out copies of the Grade 8 Mathematics Formula Sheet. Review the formula for calculating the volume of a prism or cylinder. Model calculating the area of the base and multiplying by the height.</w:t>
      </w:r>
    </w:p>
    <w:p w14:paraId="6316F665" w14:textId="77777777" w:rsidR="00E856BF" w:rsidRPr="005814AB" w:rsidRDefault="00E856BF" w:rsidP="00E856BF">
      <w:pPr>
        <w:pStyle w:val="ListNumber"/>
        <w:numPr>
          <w:ilvl w:val="0"/>
          <w:numId w:val="43"/>
        </w:numPr>
        <w:rPr>
          <w:rFonts w:asciiTheme="minorHAnsi" w:hAnsiTheme="minorHAnsi"/>
          <w:sz w:val="24"/>
          <w:szCs w:val="24"/>
        </w:rPr>
      </w:pPr>
      <w:r w:rsidRPr="005814AB">
        <w:rPr>
          <w:rFonts w:asciiTheme="minorHAnsi" w:hAnsiTheme="minorHAnsi"/>
          <w:sz w:val="24"/>
          <w:szCs w:val="24"/>
        </w:rPr>
        <w:t xml:space="preserve">Do the same for a pyramid and cone, emphasizing that it is the same process of calculating the area of the base and multiplying by the height except that </w:t>
      </w:r>
      <w:r w:rsidRPr="005814AB">
        <w:rPr>
          <w:rFonts w:asciiTheme="minorHAnsi" w:hAnsiTheme="minorHAnsi"/>
          <w:sz w:val="24"/>
          <w:szCs w:val="24"/>
          <w:u w:val="single"/>
        </w:rPr>
        <w:t xml:space="preserve">you divide the resulting </w:t>
      </w:r>
      <w:r w:rsidRPr="005814AB">
        <w:rPr>
          <w:rFonts w:asciiTheme="minorHAnsi" w:hAnsiTheme="minorHAnsi"/>
          <w:sz w:val="24"/>
          <w:szCs w:val="24"/>
          <w:u w:val="single"/>
        </w:rPr>
        <w:lastRenderedPageBreak/>
        <w:t>volume by 3</w:t>
      </w:r>
      <w:r w:rsidRPr="005814AB">
        <w:rPr>
          <w:rFonts w:asciiTheme="minorHAnsi" w:hAnsiTheme="minorHAnsi"/>
          <w:sz w:val="24"/>
          <w:szCs w:val="24"/>
        </w:rPr>
        <w:t xml:space="preserve">, which is the same as multiplying </w:t>
      </w:r>
      <w:proofErr w:type="gramStart"/>
      <w:r w:rsidRPr="005814AB">
        <w:rPr>
          <w:rFonts w:asciiTheme="minorHAnsi" w:hAnsiTheme="minorHAnsi"/>
          <w:sz w:val="24"/>
          <w:szCs w:val="24"/>
        </w:rPr>
        <w:t xml:space="preserve">by </w:t>
      </w:r>
      <w:proofErr w:type="gramEnd"/>
      <w:r w:rsidRPr="005814AB">
        <w:rPr>
          <w:rFonts w:asciiTheme="minorHAnsi" w:hAnsiTheme="minorHAnsi"/>
          <w:sz w:val="24"/>
          <w:szCs w:val="24"/>
        </w:rPr>
        <w:fldChar w:fldCharType="begin"/>
      </w:r>
      <w:r w:rsidRPr="005814AB">
        <w:rPr>
          <w:rFonts w:asciiTheme="minorHAnsi" w:hAnsiTheme="minorHAnsi"/>
          <w:sz w:val="24"/>
          <w:szCs w:val="24"/>
        </w:rPr>
        <w:instrText>EQ \F(1,3)</w:instrText>
      </w:r>
      <w:r w:rsidRPr="005814AB">
        <w:rPr>
          <w:rFonts w:asciiTheme="minorHAnsi" w:hAnsiTheme="minorHAnsi"/>
          <w:sz w:val="24"/>
          <w:szCs w:val="24"/>
        </w:rPr>
        <w:fldChar w:fldCharType="end"/>
      </w:r>
      <w:r w:rsidRPr="005814AB">
        <w:rPr>
          <w:rFonts w:asciiTheme="minorHAnsi" w:hAnsiTheme="minorHAnsi"/>
          <w:sz w:val="24"/>
          <w:szCs w:val="24"/>
        </w:rPr>
        <w:t xml:space="preserve">. Ask students what they learned in the warm-up that helps them rationalize dividing by 3 (or multiplying </w:t>
      </w:r>
      <w:proofErr w:type="gramStart"/>
      <w:r w:rsidRPr="005814AB">
        <w:rPr>
          <w:rFonts w:asciiTheme="minorHAnsi" w:hAnsiTheme="minorHAnsi"/>
          <w:sz w:val="24"/>
          <w:szCs w:val="24"/>
        </w:rPr>
        <w:t xml:space="preserve">by </w:t>
      </w:r>
      <w:proofErr w:type="gramEnd"/>
      <w:r w:rsidRPr="005814AB">
        <w:rPr>
          <w:rFonts w:asciiTheme="minorHAnsi" w:hAnsiTheme="minorHAnsi"/>
          <w:sz w:val="24"/>
          <w:szCs w:val="24"/>
        </w:rPr>
        <w:fldChar w:fldCharType="begin"/>
      </w:r>
      <w:r w:rsidRPr="005814AB">
        <w:rPr>
          <w:rFonts w:asciiTheme="minorHAnsi" w:hAnsiTheme="minorHAnsi"/>
          <w:sz w:val="24"/>
          <w:szCs w:val="24"/>
        </w:rPr>
        <w:instrText>EQ \F(1,3)</w:instrText>
      </w:r>
      <w:r w:rsidRPr="005814AB">
        <w:rPr>
          <w:rFonts w:asciiTheme="minorHAnsi" w:hAnsiTheme="minorHAnsi"/>
          <w:sz w:val="24"/>
          <w:szCs w:val="24"/>
        </w:rPr>
        <w:fldChar w:fldCharType="end"/>
      </w:r>
      <w:r w:rsidRPr="005814AB">
        <w:rPr>
          <w:rFonts w:asciiTheme="minorHAnsi" w:hAnsiTheme="minorHAnsi"/>
          <w:sz w:val="24"/>
          <w:szCs w:val="24"/>
        </w:rPr>
        <w:t>).</w:t>
      </w:r>
    </w:p>
    <w:p w14:paraId="02F75AAF" w14:textId="77777777" w:rsidR="00E856BF" w:rsidRPr="005814AB" w:rsidRDefault="00E856BF" w:rsidP="00E856BF">
      <w:pPr>
        <w:pStyle w:val="ListNumber"/>
        <w:numPr>
          <w:ilvl w:val="0"/>
          <w:numId w:val="43"/>
        </w:numPr>
        <w:rPr>
          <w:rFonts w:asciiTheme="minorHAnsi" w:hAnsiTheme="minorHAnsi"/>
          <w:sz w:val="24"/>
          <w:szCs w:val="24"/>
        </w:rPr>
      </w:pPr>
      <w:r w:rsidRPr="005814AB">
        <w:rPr>
          <w:rFonts w:asciiTheme="minorHAnsi" w:hAnsiTheme="minorHAnsi"/>
          <w:sz w:val="24"/>
          <w:szCs w:val="24"/>
        </w:rPr>
        <w:t>Hand out copies of the attached “Finding Volumes of Solids” worksheet, and have students work together in pairs to complete it.</w:t>
      </w:r>
    </w:p>
    <w:p w14:paraId="3AC69AE8" w14:textId="77777777" w:rsidR="007A523C" w:rsidRPr="005814AB" w:rsidRDefault="007A523C" w:rsidP="003B68C2">
      <w:pPr>
        <w:pStyle w:val="ListNumber"/>
        <w:ind w:left="418"/>
        <w:rPr>
          <w:rFonts w:asciiTheme="minorHAnsi" w:hAnsiTheme="minorHAnsi"/>
          <w:sz w:val="24"/>
          <w:szCs w:val="24"/>
        </w:rPr>
      </w:pPr>
    </w:p>
    <w:p w14:paraId="0D39C0D5" w14:textId="77777777" w:rsidR="004E43DC" w:rsidRPr="005814AB" w:rsidRDefault="0083755B" w:rsidP="0083755B">
      <w:pPr>
        <w:pStyle w:val="Heading4"/>
      </w:pPr>
      <w:r w:rsidRPr="005814AB">
        <w:t>Pulling It All Together (Reflection)</w:t>
      </w:r>
    </w:p>
    <w:p w14:paraId="42DF0E29" w14:textId="77777777" w:rsidR="00E856BF" w:rsidRPr="005814AB" w:rsidRDefault="00E856BF" w:rsidP="00E856BF">
      <w:pPr>
        <w:rPr>
          <w:rFonts w:asciiTheme="minorHAnsi" w:hAnsiTheme="minorHAnsi"/>
          <w:sz w:val="24"/>
          <w:szCs w:val="24"/>
        </w:rPr>
      </w:pPr>
      <w:bookmarkStart w:id="1" w:name="SOL5_2a"/>
      <w:bookmarkStart w:id="2" w:name="_Toc175632767"/>
      <w:bookmarkEnd w:id="1"/>
      <w:r w:rsidRPr="005814AB">
        <w:rPr>
          <w:rFonts w:asciiTheme="minorHAnsi" w:hAnsiTheme="minorHAnsi"/>
          <w:sz w:val="24"/>
          <w:szCs w:val="24"/>
        </w:rPr>
        <w:t xml:space="preserve">Have students explain in writing how the formula for finding the volume of a pyramid is like and unlike the formula for finding the volume of a prism. Then, have </w:t>
      </w:r>
      <w:proofErr w:type="gramStart"/>
      <w:r w:rsidRPr="005814AB">
        <w:rPr>
          <w:rFonts w:asciiTheme="minorHAnsi" w:hAnsiTheme="minorHAnsi"/>
          <w:sz w:val="24"/>
          <w:szCs w:val="24"/>
        </w:rPr>
        <w:t>them</w:t>
      </w:r>
      <w:proofErr w:type="gramEnd"/>
      <w:r w:rsidRPr="005814AB">
        <w:rPr>
          <w:rFonts w:asciiTheme="minorHAnsi" w:hAnsiTheme="minorHAnsi"/>
          <w:sz w:val="24"/>
          <w:szCs w:val="24"/>
        </w:rPr>
        <w:t xml:space="preserve"> explain how the formula for finding the volume of a cone is like and unlike the formula for finding the volume of a cylinder.</w:t>
      </w:r>
    </w:p>
    <w:p w14:paraId="7BA7727C" w14:textId="1DB540BF" w:rsidR="0071733B" w:rsidRPr="005814AB" w:rsidRDefault="0071733B" w:rsidP="0071733B">
      <w:pPr>
        <w:rPr>
          <w:rFonts w:ascii="Calibri" w:hAnsi="Calibri" w:cs="Calibri"/>
          <w:color w:val="FF0000"/>
          <w:sz w:val="24"/>
          <w:szCs w:val="24"/>
        </w:rPr>
      </w:pPr>
    </w:p>
    <w:p w14:paraId="61DFE758" w14:textId="77777777" w:rsidR="0071733B" w:rsidRPr="005814AB" w:rsidRDefault="0071733B" w:rsidP="0071733B">
      <w:pPr>
        <w:rPr>
          <w:rFonts w:ascii="Calibri" w:hAnsi="Calibri" w:cs="Calibri"/>
          <w:sz w:val="24"/>
          <w:szCs w:val="24"/>
        </w:rPr>
      </w:pPr>
    </w:p>
    <w:p w14:paraId="43E3FF58" w14:textId="109DA2CD" w:rsidR="00E856BF" w:rsidRPr="005814AB" w:rsidRDefault="0071733B" w:rsidP="00A90C81">
      <w:pPr>
        <w:rPr>
          <w:rFonts w:ascii="Calibri" w:hAnsi="Calibri" w:cs="Calibri"/>
          <w:color w:val="FF0000"/>
          <w:sz w:val="24"/>
          <w:szCs w:val="24"/>
        </w:rPr>
      </w:pPr>
      <w:r w:rsidRPr="005814AB">
        <w:rPr>
          <w:rFonts w:ascii="Calibri" w:hAnsi="Calibri" w:cs="Calibri"/>
          <w:b/>
          <w:sz w:val="24"/>
          <w:szCs w:val="24"/>
        </w:rPr>
        <w:t>Note: The following pages are intended for classroom use for students as a visual aid to learning.</w:t>
      </w:r>
      <w:r w:rsidR="00A90C81" w:rsidRPr="005814AB">
        <w:rPr>
          <w:rFonts w:ascii="Calibri" w:hAnsi="Calibri" w:cs="Calibri"/>
          <w:b/>
          <w:sz w:val="24"/>
          <w:szCs w:val="24"/>
        </w:rPr>
        <w:t xml:space="preserve">  </w:t>
      </w:r>
      <w:r w:rsidR="0052357F" w:rsidRPr="005814AB">
        <w:rPr>
          <w:rFonts w:ascii="Calibri" w:hAnsi="Calibri" w:cs="Calibri"/>
          <w:color w:val="FF0000"/>
          <w:sz w:val="24"/>
          <w:szCs w:val="24"/>
        </w:rPr>
        <w:t xml:space="preserve">  </w:t>
      </w:r>
      <w:r w:rsidR="00A90C81" w:rsidRPr="005814AB">
        <w:rPr>
          <w:rFonts w:ascii="Calibri" w:hAnsi="Calibri" w:cs="Calibri"/>
          <w:color w:val="FF0000"/>
          <w:sz w:val="24"/>
          <w:szCs w:val="24"/>
        </w:rPr>
        <w:t xml:space="preserve"> </w:t>
      </w:r>
      <w:bookmarkEnd w:id="2"/>
    </w:p>
    <w:p w14:paraId="2F07C544" w14:textId="77777777" w:rsidR="007B42C3" w:rsidRDefault="007B42C3" w:rsidP="0096185C">
      <w:pPr>
        <w:spacing w:line="240" w:lineRule="auto"/>
        <w:rPr>
          <w:rFonts w:ascii="Calibri" w:hAnsi="Calibri" w:cs="Calibri"/>
          <w:color w:val="FF0000"/>
          <w:sz w:val="24"/>
          <w:szCs w:val="24"/>
        </w:rPr>
      </w:pPr>
    </w:p>
    <w:p w14:paraId="7B4E9456" w14:textId="0B4AD54B" w:rsidR="00C264B4" w:rsidRPr="005814AB" w:rsidRDefault="007B42C3" w:rsidP="0096185C">
      <w:pPr>
        <w:spacing w:line="240" w:lineRule="auto"/>
        <w:rPr>
          <w:rFonts w:ascii="Calibri" w:hAnsi="Calibri" w:cs="Calibri"/>
          <w:color w:val="FF0000"/>
          <w:sz w:val="24"/>
          <w:szCs w:val="24"/>
        </w:rPr>
      </w:pPr>
      <w:r>
        <w:rPr>
          <w:rFonts w:ascii="Calibri" w:hAnsi="Calibri" w:cs="Calibri"/>
          <w:sz w:val="24"/>
          <w:szCs w:val="24"/>
        </w:rPr>
        <w:t>Virginia Department of Education 2018</w:t>
      </w:r>
      <w:bookmarkStart w:id="3" w:name="_GoBack"/>
      <w:bookmarkEnd w:id="3"/>
      <w:r w:rsidR="00E856BF" w:rsidRPr="005814AB">
        <w:rPr>
          <w:rFonts w:ascii="Calibri" w:hAnsi="Calibri" w:cs="Calibri"/>
          <w:color w:val="FF0000"/>
          <w:sz w:val="24"/>
          <w:szCs w:val="24"/>
        </w:rPr>
        <w:br w:type="page"/>
      </w:r>
    </w:p>
    <w:p w14:paraId="087A90B9" w14:textId="77777777" w:rsidR="00C264B4" w:rsidRDefault="00C264B4" w:rsidP="00C264B4">
      <w:pPr>
        <w:pStyle w:val="Heading3"/>
        <w:rPr>
          <w:u w:val="single"/>
        </w:rPr>
      </w:pPr>
      <w:r>
        <w:lastRenderedPageBreak/>
        <w:t xml:space="preserve">Name: </w:t>
      </w:r>
      <w:r>
        <w:rPr>
          <w:u w:val="single"/>
        </w:rPr>
        <w:tab/>
      </w:r>
    </w:p>
    <w:p w14:paraId="610EB5CA" w14:textId="77777777" w:rsidR="00C264B4" w:rsidRDefault="00C264B4" w:rsidP="00C264B4">
      <w:pPr>
        <w:pStyle w:val="Heading7"/>
      </w:pPr>
      <w:r>
        <w:t>Finding Volumes of Solids</w:t>
      </w:r>
    </w:p>
    <w:p w14:paraId="0C60E326" w14:textId="77777777" w:rsidR="00C264B4" w:rsidRDefault="00C264B4" w:rsidP="00C264B4">
      <w:pPr>
        <w:pStyle w:val="Handoutnormal"/>
        <w:spacing w:after="120"/>
      </w:pPr>
      <w:r>
        <w:t>Sketch each solid named in the chart below. Write a real-life question that involves finding the volume of the solid. Write the necessary dimensions that must be given in your question in order to answer it. Write the formula for finding the volume of the solid, and use the given dimensions to calculate the volume. Explain the process in words. The first example is done for you.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924"/>
        <w:gridCol w:w="1439"/>
        <w:gridCol w:w="1310"/>
        <w:gridCol w:w="2733"/>
      </w:tblGrid>
      <w:tr w:rsidR="00C264B4" w14:paraId="413D83D6" w14:textId="77777777" w:rsidTr="00C264B4">
        <w:tc>
          <w:tcPr>
            <w:tcW w:w="1044" w:type="pct"/>
            <w:tcBorders>
              <w:top w:val="single" w:sz="4" w:space="0" w:color="auto"/>
              <w:left w:val="single" w:sz="4" w:space="0" w:color="auto"/>
              <w:bottom w:val="single" w:sz="4" w:space="0" w:color="auto"/>
              <w:right w:val="single" w:sz="4" w:space="0" w:color="auto"/>
            </w:tcBorders>
            <w:vAlign w:val="center"/>
            <w:hideMark/>
          </w:tcPr>
          <w:p w14:paraId="7BF6D755" w14:textId="77777777" w:rsidR="00C264B4" w:rsidRDefault="00C264B4">
            <w:pPr>
              <w:pStyle w:val="Handoutnormal"/>
              <w:jc w:val="center"/>
              <w:rPr>
                <w:b/>
              </w:rPr>
            </w:pPr>
            <w:r>
              <w:rPr>
                <w:b/>
              </w:rPr>
              <w:t>Sketch of Solid</w:t>
            </w:r>
          </w:p>
        </w:tc>
        <w:tc>
          <w:tcPr>
            <w:tcW w:w="1033" w:type="pct"/>
            <w:tcBorders>
              <w:top w:val="single" w:sz="4" w:space="0" w:color="auto"/>
              <w:left w:val="single" w:sz="4" w:space="0" w:color="auto"/>
              <w:bottom w:val="single" w:sz="4" w:space="0" w:color="auto"/>
              <w:right w:val="single" w:sz="4" w:space="0" w:color="auto"/>
            </w:tcBorders>
            <w:vAlign w:val="center"/>
            <w:hideMark/>
          </w:tcPr>
          <w:p w14:paraId="47AFD05D" w14:textId="77777777" w:rsidR="00C264B4" w:rsidRDefault="00C264B4">
            <w:pPr>
              <w:pStyle w:val="Handoutnormal"/>
              <w:jc w:val="center"/>
              <w:rPr>
                <w:b/>
              </w:rPr>
            </w:pPr>
            <w:r>
              <w:rPr>
                <w:b/>
              </w:rPr>
              <w:t>Real-life volume question</w:t>
            </w:r>
          </w:p>
        </w:tc>
        <w:tc>
          <w:tcPr>
            <w:tcW w:w="752" w:type="pct"/>
            <w:tcBorders>
              <w:top w:val="single" w:sz="4" w:space="0" w:color="auto"/>
              <w:left w:val="single" w:sz="4" w:space="0" w:color="auto"/>
              <w:bottom w:val="single" w:sz="4" w:space="0" w:color="auto"/>
              <w:right w:val="single" w:sz="4" w:space="0" w:color="auto"/>
            </w:tcBorders>
            <w:vAlign w:val="center"/>
            <w:hideMark/>
          </w:tcPr>
          <w:p w14:paraId="3ED95C9F" w14:textId="77777777" w:rsidR="00C264B4" w:rsidRDefault="00C264B4">
            <w:pPr>
              <w:pStyle w:val="Handoutnormal"/>
              <w:jc w:val="center"/>
              <w:rPr>
                <w:b/>
              </w:rPr>
            </w:pPr>
            <w:r>
              <w:rPr>
                <w:b/>
              </w:rPr>
              <w:t>Necessary dimensions</w:t>
            </w:r>
          </w:p>
        </w:tc>
        <w:tc>
          <w:tcPr>
            <w:tcW w:w="705" w:type="pct"/>
            <w:tcBorders>
              <w:top w:val="single" w:sz="4" w:space="0" w:color="auto"/>
              <w:left w:val="single" w:sz="4" w:space="0" w:color="auto"/>
              <w:bottom w:val="single" w:sz="4" w:space="0" w:color="auto"/>
              <w:right w:val="single" w:sz="4" w:space="0" w:color="auto"/>
            </w:tcBorders>
            <w:vAlign w:val="center"/>
            <w:hideMark/>
          </w:tcPr>
          <w:p w14:paraId="33C31BA0" w14:textId="77777777" w:rsidR="00C264B4" w:rsidRDefault="00C264B4">
            <w:pPr>
              <w:pStyle w:val="Handoutnormal"/>
              <w:jc w:val="center"/>
              <w:rPr>
                <w:b/>
              </w:rPr>
            </w:pPr>
            <w:r>
              <w:rPr>
                <w:b/>
              </w:rPr>
              <w:t>Formula for volume</w:t>
            </w:r>
          </w:p>
        </w:tc>
        <w:tc>
          <w:tcPr>
            <w:tcW w:w="1466" w:type="pct"/>
            <w:tcBorders>
              <w:top w:val="single" w:sz="4" w:space="0" w:color="auto"/>
              <w:left w:val="single" w:sz="4" w:space="0" w:color="auto"/>
              <w:bottom w:val="single" w:sz="4" w:space="0" w:color="auto"/>
              <w:right w:val="single" w:sz="4" w:space="0" w:color="auto"/>
            </w:tcBorders>
            <w:vAlign w:val="center"/>
            <w:hideMark/>
          </w:tcPr>
          <w:p w14:paraId="5F079720" w14:textId="77777777" w:rsidR="00C264B4" w:rsidRDefault="00C264B4">
            <w:pPr>
              <w:pStyle w:val="Handoutnormal"/>
              <w:jc w:val="center"/>
              <w:rPr>
                <w:b/>
              </w:rPr>
            </w:pPr>
            <w:r>
              <w:rPr>
                <w:b/>
              </w:rPr>
              <w:t>Explanation of process</w:t>
            </w:r>
          </w:p>
        </w:tc>
      </w:tr>
      <w:tr w:rsidR="00C264B4" w14:paraId="34D05C2B" w14:textId="77777777" w:rsidTr="00C264B4">
        <w:trPr>
          <w:trHeight w:val="1650"/>
        </w:trPr>
        <w:tc>
          <w:tcPr>
            <w:tcW w:w="1044" w:type="pct"/>
            <w:tcBorders>
              <w:top w:val="single" w:sz="4" w:space="0" w:color="auto"/>
              <w:left w:val="single" w:sz="4" w:space="0" w:color="auto"/>
              <w:bottom w:val="single" w:sz="4" w:space="0" w:color="auto"/>
              <w:right w:val="single" w:sz="4" w:space="0" w:color="auto"/>
            </w:tcBorders>
            <w:hideMark/>
          </w:tcPr>
          <w:p w14:paraId="6FF78114" w14:textId="0FCAE752" w:rsidR="00C264B4" w:rsidRDefault="00C264B4">
            <w:pPr>
              <w:pStyle w:val="Handoutnormal"/>
              <w:rPr>
                <w:b/>
              </w:rPr>
            </w:pPr>
            <w:r>
              <w:rPr>
                <w:noProof/>
              </w:rPr>
              <mc:AlternateContent>
                <mc:Choice Requires="wps">
                  <w:drawing>
                    <wp:anchor distT="0" distB="0" distL="114300" distR="114300" simplePos="0" relativeHeight="251658240" behindDoc="0" locked="0" layoutInCell="1" allowOverlap="1" wp14:anchorId="756A4233" wp14:editId="32EB8144">
                      <wp:simplePos x="0" y="0"/>
                      <wp:positionH relativeFrom="column">
                        <wp:posOffset>255270</wp:posOffset>
                      </wp:positionH>
                      <wp:positionV relativeFrom="paragraph">
                        <wp:posOffset>267970</wp:posOffset>
                      </wp:positionV>
                      <wp:extent cx="594360" cy="590550"/>
                      <wp:effectExtent l="7620" t="10795" r="7620" b="8255"/>
                      <wp:wrapNone/>
                      <wp:docPr id="2" name="Cub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590550"/>
                              </a:xfrm>
                              <a:prstGeom prst="cube">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92C4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 o:spid="_x0000_s1026" type="#_x0000_t16" style="position:absolute;margin-left:20.1pt;margin-top:21.1pt;width:46.8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" filled="f"/>
                  </w:pict>
                </mc:Fallback>
              </mc:AlternateContent>
            </w:r>
            <w:r>
              <w:rPr>
                <w:b/>
              </w:rPr>
              <w:t>Cube</w:t>
            </w:r>
          </w:p>
        </w:tc>
        <w:tc>
          <w:tcPr>
            <w:tcW w:w="1033" w:type="pct"/>
            <w:tcBorders>
              <w:top w:val="single" w:sz="4" w:space="0" w:color="auto"/>
              <w:left w:val="single" w:sz="4" w:space="0" w:color="auto"/>
              <w:bottom w:val="single" w:sz="4" w:space="0" w:color="auto"/>
              <w:right w:val="single" w:sz="4" w:space="0" w:color="auto"/>
            </w:tcBorders>
            <w:hideMark/>
          </w:tcPr>
          <w:p w14:paraId="051FE264" w14:textId="77777777" w:rsidR="00C264B4" w:rsidRDefault="00C264B4">
            <w:pPr>
              <w:pStyle w:val="Handoutnormal"/>
              <w:rPr>
                <w:szCs w:val="22"/>
              </w:rPr>
            </w:pPr>
            <w:r>
              <w:rPr>
                <w:szCs w:val="22"/>
              </w:rPr>
              <w:t>What is the volume of an ice cube having a side length of 2 cm?</w:t>
            </w:r>
          </w:p>
        </w:tc>
        <w:tc>
          <w:tcPr>
            <w:tcW w:w="752" w:type="pct"/>
            <w:tcBorders>
              <w:top w:val="single" w:sz="4" w:space="0" w:color="auto"/>
              <w:left w:val="single" w:sz="4" w:space="0" w:color="auto"/>
              <w:bottom w:val="single" w:sz="4" w:space="0" w:color="auto"/>
              <w:right w:val="single" w:sz="4" w:space="0" w:color="auto"/>
            </w:tcBorders>
            <w:hideMark/>
          </w:tcPr>
          <w:p w14:paraId="333CCF0D" w14:textId="77777777" w:rsidR="00C264B4" w:rsidRDefault="00C264B4">
            <w:pPr>
              <w:pStyle w:val="Handoutnormal"/>
              <w:rPr>
                <w:szCs w:val="22"/>
              </w:rPr>
            </w:pPr>
            <w:r>
              <w:rPr>
                <w:szCs w:val="22"/>
              </w:rPr>
              <w:t>2 cm x 2 cm x 2 cm</w:t>
            </w:r>
          </w:p>
        </w:tc>
        <w:tc>
          <w:tcPr>
            <w:tcW w:w="705" w:type="pct"/>
            <w:tcBorders>
              <w:top w:val="single" w:sz="4" w:space="0" w:color="auto"/>
              <w:left w:val="single" w:sz="4" w:space="0" w:color="auto"/>
              <w:bottom w:val="single" w:sz="4" w:space="0" w:color="auto"/>
              <w:right w:val="single" w:sz="4" w:space="0" w:color="auto"/>
            </w:tcBorders>
          </w:tcPr>
          <w:p w14:paraId="3EDFEC75" w14:textId="77777777" w:rsidR="00C264B4" w:rsidRDefault="00C264B4">
            <w:pPr>
              <w:pStyle w:val="Handoutnormal"/>
              <w:rPr>
                <w:i/>
                <w:szCs w:val="22"/>
              </w:rPr>
            </w:pPr>
            <w:r>
              <w:rPr>
                <w:i/>
                <w:szCs w:val="22"/>
              </w:rPr>
              <w:t>l</w:t>
            </w:r>
            <w:r>
              <w:rPr>
                <w:szCs w:val="22"/>
              </w:rPr>
              <w:t xml:space="preserve"> × </w:t>
            </w:r>
            <w:r>
              <w:rPr>
                <w:i/>
                <w:szCs w:val="22"/>
              </w:rPr>
              <w:t>w</w:t>
            </w:r>
            <w:r>
              <w:rPr>
                <w:szCs w:val="22"/>
              </w:rPr>
              <w:t xml:space="preserve"> × </w:t>
            </w:r>
            <w:r>
              <w:rPr>
                <w:i/>
                <w:szCs w:val="22"/>
              </w:rPr>
              <w:t>h</w:t>
            </w:r>
          </w:p>
          <w:p w14:paraId="2F7F09F7" w14:textId="77777777" w:rsidR="00C264B4" w:rsidRDefault="00C264B4">
            <w:pPr>
              <w:pStyle w:val="Handoutnormal"/>
              <w:rPr>
                <w:i/>
                <w:szCs w:val="22"/>
              </w:rPr>
            </w:pPr>
          </w:p>
          <w:p w14:paraId="37AE0AD1" w14:textId="77777777" w:rsidR="00C264B4" w:rsidRDefault="00C264B4">
            <w:pPr>
              <w:pStyle w:val="Handoutnormal"/>
              <w:rPr>
                <w:szCs w:val="22"/>
                <w:vertAlign w:val="superscript"/>
              </w:rPr>
            </w:pPr>
            <w:r>
              <w:rPr>
                <w:szCs w:val="22"/>
              </w:rPr>
              <w:t>2 x 2 x 2 = 8 cm</w:t>
            </w:r>
            <w:r>
              <w:rPr>
                <w:szCs w:val="22"/>
                <w:vertAlign w:val="superscript"/>
              </w:rPr>
              <w:t>3</w:t>
            </w:r>
          </w:p>
        </w:tc>
        <w:tc>
          <w:tcPr>
            <w:tcW w:w="1466" w:type="pct"/>
            <w:tcBorders>
              <w:top w:val="single" w:sz="4" w:space="0" w:color="auto"/>
              <w:left w:val="single" w:sz="4" w:space="0" w:color="auto"/>
              <w:bottom w:val="single" w:sz="4" w:space="0" w:color="auto"/>
              <w:right w:val="single" w:sz="4" w:space="0" w:color="auto"/>
            </w:tcBorders>
            <w:hideMark/>
          </w:tcPr>
          <w:p w14:paraId="2AE1D5B5" w14:textId="77777777" w:rsidR="00C264B4" w:rsidRDefault="00C264B4">
            <w:pPr>
              <w:pStyle w:val="Handoutnormal"/>
              <w:rPr>
                <w:szCs w:val="22"/>
              </w:rPr>
            </w:pPr>
            <w:r>
              <w:rPr>
                <w:szCs w:val="22"/>
              </w:rPr>
              <w:t>I multiplied length and width to get the area of the base—4 cm</w:t>
            </w:r>
            <w:r>
              <w:rPr>
                <w:szCs w:val="22"/>
                <w:vertAlign w:val="superscript"/>
              </w:rPr>
              <w:t>2</w:t>
            </w:r>
            <w:r>
              <w:rPr>
                <w:szCs w:val="22"/>
              </w:rPr>
              <w:t>. Then I multiplied the base area by the height to get the volume—8 cm</w:t>
            </w:r>
            <w:r>
              <w:rPr>
                <w:szCs w:val="22"/>
                <w:vertAlign w:val="superscript"/>
              </w:rPr>
              <w:t>3</w:t>
            </w:r>
            <w:r>
              <w:rPr>
                <w:szCs w:val="22"/>
              </w:rPr>
              <w:t>.</w:t>
            </w:r>
          </w:p>
        </w:tc>
      </w:tr>
      <w:tr w:rsidR="00C264B4" w14:paraId="67732468" w14:textId="77777777" w:rsidTr="00C264B4">
        <w:trPr>
          <w:trHeight w:val="1650"/>
        </w:trPr>
        <w:tc>
          <w:tcPr>
            <w:tcW w:w="1044" w:type="pct"/>
            <w:tcBorders>
              <w:top w:val="single" w:sz="4" w:space="0" w:color="auto"/>
              <w:left w:val="single" w:sz="4" w:space="0" w:color="auto"/>
              <w:bottom w:val="single" w:sz="4" w:space="0" w:color="auto"/>
              <w:right w:val="single" w:sz="4" w:space="0" w:color="auto"/>
            </w:tcBorders>
            <w:hideMark/>
          </w:tcPr>
          <w:p w14:paraId="386CA82D" w14:textId="77777777" w:rsidR="00C264B4" w:rsidRDefault="00C264B4">
            <w:pPr>
              <w:pStyle w:val="Handoutnormal"/>
              <w:rPr>
                <w:b/>
              </w:rPr>
            </w:pPr>
            <w:r>
              <w:rPr>
                <w:b/>
              </w:rPr>
              <w:t>Rectangular prism (not cube)</w:t>
            </w:r>
          </w:p>
        </w:tc>
        <w:tc>
          <w:tcPr>
            <w:tcW w:w="1033" w:type="pct"/>
            <w:tcBorders>
              <w:top w:val="single" w:sz="4" w:space="0" w:color="auto"/>
              <w:left w:val="single" w:sz="4" w:space="0" w:color="auto"/>
              <w:bottom w:val="single" w:sz="4" w:space="0" w:color="auto"/>
              <w:right w:val="single" w:sz="4" w:space="0" w:color="auto"/>
            </w:tcBorders>
          </w:tcPr>
          <w:p w14:paraId="3B7C95EC" w14:textId="77777777" w:rsidR="00C264B4" w:rsidRDefault="00C264B4">
            <w:pPr>
              <w:pStyle w:val="Handoutnormal"/>
            </w:pPr>
          </w:p>
        </w:tc>
        <w:tc>
          <w:tcPr>
            <w:tcW w:w="752" w:type="pct"/>
            <w:tcBorders>
              <w:top w:val="single" w:sz="4" w:space="0" w:color="auto"/>
              <w:left w:val="single" w:sz="4" w:space="0" w:color="auto"/>
              <w:bottom w:val="single" w:sz="4" w:space="0" w:color="auto"/>
              <w:right w:val="single" w:sz="4" w:space="0" w:color="auto"/>
            </w:tcBorders>
          </w:tcPr>
          <w:p w14:paraId="359054D4" w14:textId="77777777" w:rsidR="00C264B4" w:rsidRDefault="00C264B4">
            <w:pPr>
              <w:pStyle w:val="Handoutnormal"/>
            </w:pPr>
          </w:p>
        </w:tc>
        <w:tc>
          <w:tcPr>
            <w:tcW w:w="705" w:type="pct"/>
            <w:tcBorders>
              <w:top w:val="single" w:sz="4" w:space="0" w:color="auto"/>
              <w:left w:val="single" w:sz="4" w:space="0" w:color="auto"/>
              <w:bottom w:val="single" w:sz="4" w:space="0" w:color="auto"/>
              <w:right w:val="single" w:sz="4" w:space="0" w:color="auto"/>
            </w:tcBorders>
          </w:tcPr>
          <w:p w14:paraId="7D131789" w14:textId="77777777" w:rsidR="00C264B4" w:rsidRDefault="00C264B4">
            <w:pPr>
              <w:pStyle w:val="Handoutnormal"/>
            </w:pPr>
          </w:p>
        </w:tc>
        <w:tc>
          <w:tcPr>
            <w:tcW w:w="1466" w:type="pct"/>
            <w:tcBorders>
              <w:top w:val="single" w:sz="4" w:space="0" w:color="auto"/>
              <w:left w:val="single" w:sz="4" w:space="0" w:color="auto"/>
              <w:bottom w:val="single" w:sz="4" w:space="0" w:color="auto"/>
              <w:right w:val="single" w:sz="4" w:space="0" w:color="auto"/>
            </w:tcBorders>
          </w:tcPr>
          <w:p w14:paraId="607AF0C2" w14:textId="77777777" w:rsidR="00C264B4" w:rsidRDefault="00C264B4">
            <w:pPr>
              <w:pStyle w:val="Handoutnormal"/>
            </w:pPr>
          </w:p>
        </w:tc>
      </w:tr>
      <w:tr w:rsidR="00C264B4" w14:paraId="7BE8ACD5" w14:textId="77777777" w:rsidTr="00C264B4">
        <w:trPr>
          <w:trHeight w:val="1650"/>
        </w:trPr>
        <w:tc>
          <w:tcPr>
            <w:tcW w:w="1044" w:type="pct"/>
            <w:tcBorders>
              <w:top w:val="single" w:sz="4" w:space="0" w:color="auto"/>
              <w:left w:val="single" w:sz="4" w:space="0" w:color="auto"/>
              <w:bottom w:val="single" w:sz="4" w:space="0" w:color="auto"/>
              <w:right w:val="single" w:sz="4" w:space="0" w:color="auto"/>
            </w:tcBorders>
            <w:hideMark/>
          </w:tcPr>
          <w:p w14:paraId="47489321" w14:textId="77777777" w:rsidR="00C264B4" w:rsidRDefault="00C264B4">
            <w:pPr>
              <w:pStyle w:val="Handoutnormal"/>
              <w:rPr>
                <w:b/>
              </w:rPr>
            </w:pPr>
            <w:r>
              <w:rPr>
                <w:b/>
              </w:rPr>
              <w:t>Square pyramid</w:t>
            </w:r>
          </w:p>
        </w:tc>
        <w:tc>
          <w:tcPr>
            <w:tcW w:w="1033" w:type="pct"/>
            <w:tcBorders>
              <w:top w:val="single" w:sz="4" w:space="0" w:color="auto"/>
              <w:left w:val="single" w:sz="4" w:space="0" w:color="auto"/>
              <w:bottom w:val="single" w:sz="4" w:space="0" w:color="auto"/>
              <w:right w:val="single" w:sz="4" w:space="0" w:color="auto"/>
            </w:tcBorders>
          </w:tcPr>
          <w:p w14:paraId="464141AA" w14:textId="77777777" w:rsidR="00C264B4" w:rsidRDefault="00C264B4">
            <w:pPr>
              <w:pStyle w:val="Handoutnormal"/>
            </w:pPr>
          </w:p>
        </w:tc>
        <w:tc>
          <w:tcPr>
            <w:tcW w:w="752" w:type="pct"/>
            <w:tcBorders>
              <w:top w:val="single" w:sz="4" w:space="0" w:color="auto"/>
              <w:left w:val="single" w:sz="4" w:space="0" w:color="auto"/>
              <w:bottom w:val="single" w:sz="4" w:space="0" w:color="auto"/>
              <w:right w:val="single" w:sz="4" w:space="0" w:color="auto"/>
            </w:tcBorders>
          </w:tcPr>
          <w:p w14:paraId="5080E715" w14:textId="77777777" w:rsidR="00C264B4" w:rsidRDefault="00C264B4">
            <w:pPr>
              <w:pStyle w:val="Handoutnormal"/>
            </w:pPr>
          </w:p>
        </w:tc>
        <w:tc>
          <w:tcPr>
            <w:tcW w:w="705" w:type="pct"/>
            <w:tcBorders>
              <w:top w:val="single" w:sz="4" w:space="0" w:color="auto"/>
              <w:left w:val="single" w:sz="4" w:space="0" w:color="auto"/>
              <w:bottom w:val="single" w:sz="4" w:space="0" w:color="auto"/>
              <w:right w:val="single" w:sz="4" w:space="0" w:color="auto"/>
            </w:tcBorders>
          </w:tcPr>
          <w:p w14:paraId="7C2DDFAD" w14:textId="77777777" w:rsidR="00C264B4" w:rsidRDefault="00C264B4">
            <w:pPr>
              <w:pStyle w:val="Handoutnormal"/>
            </w:pPr>
          </w:p>
        </w:tc>
        <w:tc>
          <w:tcPr>
            <w:tcW w:w="1466" w:type="pct"/>
            <w:tcBorders>
              <w:top w:val="single" w:sz="4" w:space="0" w:color="auto"/>
              <w:left w:val="single" w:sz="4" w:space="0" w:color="auto"/>
              <w:bottom w:val="single" w:sz="4" w:space="0" w:color="auto"/>
              <w:right w:val="single" w:sz="4" w:space="0" w:color="auto"/>
            </w:tcBorders>
          </w:tcPr>
          <w:p w14:paraId="06EAE1E4" w14:textId="77777777" w:rsidR="00C264B4" w:rsidRDefault="00C264B4">
            <w:pPr>
              <w:pStyle w:val="Handoutnormal"/>
            </w:pPr>
          </w:p>
        </w:tc>
      </w:tr>
      <w:tr w:rsidR="00C264B4" w14:paraId="1C373702" w14:textId="77777777" w:rsidTr="00C264B4">
        <w:trPr>
          <w:trHeight w:val="1650"/>
        </w:trPr>
        <w:tc>
          <w:tcPr>
            <w:tcW w:w="1044" w:type="pct"/>
            <w:tcBorders>
              <w:top w:val="single" w:sz="4" w:space="0" w:color="auto"/>
              <w:left w:val="single" w:sz="4" w:space="0" w:color="auto"/>
              <w:bottom w:val="single" w:sz="4" w:space="0" w:color="auto"/>
              <w:right w:val="single" w:sz="4" w:space="0" w:color="auto"/>
            </w:tcBorders>
            <w:hideMark/>
          </w:tcPr>
          <w:p w14:paraId="283B72BF" w14:textId="77777777" w:rsidR="00C264B4" w:rsidRDefault="00C264B4">
            <w:pPr>
              <w:pStyle w:val="Handoutnormal"/>
              <w:rPr>
                <w:b/>
              </w:rPr>
            </w:pPr>
            <w:r>
              <w:rPr>
                <w:b/>
              </w:rPr>
              <w:t>Cylinder</w:t>
            </w:r>
          </w:p>
        </w:tc>
        <w:tc>
          <w:tcPr>
            <w:tcW w:w="1033" w:type="pct"/>
            <w:tcBorders>
              <w:top w:val="single" w:sz="4" w:space="0" w:color="auto"/>
              <w:left w:val="single" w:sz="4" w:space="0" w:color="auto"/>
              <w:bottom w:val="single" w:sz="4" w:space="0" w:color="auto"/>
              <w:right w:val="single" w:sz="4" w:space="0" w:color="auto"/>
            </w:tcBorders>
          </w:tcPr>
          <w:p w14:paraId="0BADDD89" w14:textId="77777777" w:rsidR="00C264B4" w:rsidRDefault="00C264B4">
            <w:pPr>
              <w:pStyle w:val="Handoutnormal"/>
            </w:pPr>
          </w:p>
        </w:tc>
        <w:tc>
          <w:tcPr>
            <w:tcW w:w="752" w:type="pct"/>
            <w:tcBorders>
              <w:top w:val="single" w:sz="4" w:space="0" w:color="auto"/>
              <w:left w:val="single" w:sz="4" w:space="0" w:color="auto"/>
              <w:bottom w:val="single" w:sz="4" w:space="0" w:color="auto"/>
              <w:right w:val="single" w:sz="4" w:space="0" w:color="auto"/>
            </w:tcBorders>
          </w:tcPr>
          <w:p w14:paraId="28188393" w14:textId="77777777" w:rsidR="00C264B4" w:rsidRDefault="00C264B4">
            <w:pPr>
              <w:pStyle w:val="Handoutnormal"/>
            </w:pPr>
          </w:p>
        </w:tc>
        <w:tc>
          <w:tcPr>
            <w:tcW w:w="705" w:type="pct"/>
            <w:tcBorders>
              <w:top w:val="single" w:sz="4" w:space="0" w:color="auto"/>
              <w:left w:val="single" w:sz="4" w:space="0" w:color="auto"/>
              <w:bottom w:val="single" w:sz="4" w:space="0" w:color="auto"/>
              <w:right w:val="single" w:sz="4" w:space="0" w:color="auto"/>
            </w:tcBorders>
          </w:tcPr>
          <w:p w14:paraId="4F7C57B9" w14:textId="77777777" w:rsidR="00C264B4" w:rsidRDefault="00C264B4">
            <w:pPr>
              <w:pStyle w:val="Handoutnormal"/>
            </w:pPr>
          </w:p>
        </w:tc>
        <w:tc>
          <w:tcPr>
            <w:tcW w:w="1466" w:type="pct"/>
            <w:tcBorders>
              <w:top w:val="single" w:sz="4" w:space="0" w:color="auto"/>
              <w:left w:val="single" w:sz="4" w:space="0" w:color="auto"/>
              <w:bottom w:val="single" w:sz="4" w:space="0" w:color="auto"/>
              <w:right w:val="single" w:sz="4" w:space="0" w:color="auto"/>
            </w:tcBorders>
          </w:tcPr>
          <w:p w14:paraId="703E2C52" w14:textId="77777777" w:rsidR="00C264B4" w:rsidRDefault="00C264B4">
            <w:pPr>
              <w:pStyle w:val="Handoutnormal"/>
            </w:pPr>
          </w:p>
        </w:tc>
      </w:tr>
      <w:tr w:rsidR="00C264B4" w14:paraId="3B3D6211" w14:textId="77777777" w:rsidTr="00C264B4">
        <w:trPr>
          <w:trHeight w:val="1650"/>
        </w:trPr>
        <w:tc>
          <w:tcPr>
            <w:tcW w:w="1044" w:type="pct"/>
            <w:tcBorders>
              <w:top w:val="single" w:sz="4" w:space="0" w:color="auto"/>
              <w:left w:val="single" w:sz="4" w:space="0" w:color="auto"/>
              <w:bottom w:val="single" w:sz="4" w:space="0" w:color="auto"/>
              <w:right w:val="single" w:sz="4" w:space="0" w:color="auto"/>
            </w:tcBorders>
            <w:hideMark/>
          </w:tcPr>
          <w:p w14:paraId="0D460CE4" w14:textId="77777777" w:rsidR="00C264B4" w:rsidRDefault="00C264B4">
            <w:pPr>
              <w:pStyle w:val="Handoutnormal"/>
              <w:rPr>
                <w:b/>
              </w:rPr>
            </w:pPr>
            <w:r>
              <w:rPr>
                <w:b/>
              </w:rPr>
              <w:t>Cone</w:t>
            </w:r>
          </w:p>
        </w:tc>
        <w:tc>
          <w:tcPr>
            <w:tcW w:w="1033" w:type="pct"/>
            <w:tcBorders>
              <w:top w:val="single" w:sz="4" w:space="0" w:color="auto"/>
              <w:left w:val="single" w:sz="4" w:space="0" w:color="auto"/>
              <w:bottom w:val="single" w:sz="4" w:space="0" w:color="auto"/>
              <w:right w:val="single" w:sz="4" w:space="0" w:color="auto"/>
            </w:tcBorders>
          </w:tcPr>
          <w:p w14:paraId="53692D0A" w14:textId="77777777" w:rsidR="00C264B4" w:rsidRDefault="00C264B4">
            <w:pPr>
              <w:pStyle w:val="Handoutnormal"/>
            </w:pPr>
          </w:p>
        </w:tc>
        <w:tc>
          <w:tcPr>
            <w:tcW w:w="752" w:type="pct"/>
            <w:tcBorders>
              <w:top w:val="single" w:sz="4" w:space="0" w:color="auto"/>
              <w:left w:val="single" w:sz="4" w:space="0" w:color="auto"/>
              <w:bottom w:val="single" w:sz="4" w:space="0" w:color="auto"/>
              <w:right w:val="single" w:sz="4" w:space="0" w:color="auto"/>
            </w:tcBorders>
          </w:tcPr>
          <w:p w14:paraId="04F1CAE7" w14:textId="77777777" w:rsidR="00C264B4" w:rsidRDefault="00C264B4">
            <w:pPr>
              <w:pStyle w:val="Handoutnormal"/>
            </w:pPr>
          </w:p>
        </w:tc>
        <w:tc>
          <w:tcPr>
            <w:tcW w:w="705" w:type="pct"/>
            <w:tcBorders>
              <w:top w:val="single" w:sz="4" w:space="0" w:color="auto"/>
              <w:left w:val="single" w:sz="4" w:space="0" w:color="auto"/>
              <w:bottom w:val="single" w:sz="4" w:space="0" w:color="auto"/>
              <w:right w:val="single" w:sz="4" w:space="0" w:color="auto"/>
            </w:tcBorders>
          </w:tcPr>
          <w:p w14:paraId="4B01B378" w14:textId="77777777" w:rsidR="00C264B4" w:rsidRDefault="00C264B4">
            <w:pPr>
              <w:pStyle w:val="Handoutnormal"/>
            </w:pPr>
          </w:p>
        </w:tc>
        <w:tc>
          <w:tcPr>
            <w:tcW w:w="1466" w:type="pct"/>
            <w:tcBorders>
              <w:top w:val="single" w:sz="4" w:space="0" w:color="auto"/>
              <w:left w:val="single" w:sz="4" w:space="0" w:color="auto"/>
              <w:bottom w:val="single" w:sz="4" w:space="0" w:color="auto"/>
              <w:right w:val="single" w:sz="4" w:space="0" w:color="auto"/>
            </w:tcBorders>
          </w:tcPr>
          <w:p w14:paraId="1B4EDB3D" w14:textId="77777777" w:rsidR="00C264B4" w:rsidRDefault="00C264B4">
            <w:pPr>
              <w:pStyle w:val="Handoutnormal"/>
            </w:pPr>
          </w:p>
        </w:tc>
      </w:tr>
    </w:tbl>
    <w:p w14:paraId="3CE7F4C7" w14:textId="77777777" w:rsidR="00C264B4" w:rsidRDefault="00C264B4" w:rsidP="00C264B4">
      <w:pPr>
        <w:pStyle w:val="Handoutnormal"/>
      </w:pPr>
    </w:p>
    <w:p w14:paraId="29A63E87" w14:textId="77777777" w:rsidR="00C264B4" w:rsidRDefault="00C264B4" w:rsidP="00C264B4">
      <w:pPr>
        <w:pStyle w:val="Handoutnumberedparagraph"/>
        <w:tabs>
          <w:tab w:val="clear" w:pos="540"/>
        </w:tabs>
        <w:ind w:left="0" w:firstLine="0"/>
      </w:pPr>
      <w:r>
        <w:t>Explain how the formula for finding the volume of a pyramid or cone is like the formula for finding the volume of a prism or cylinder.</w:t>
      </w:r>
    </w:p>
    <w:p w14:paraId="69B9786A" w14:textId="77777777" w:rsidR="00C264B4" w:rsidRDefault="00C264B4" w:rsidP="00C264B4">
      <w:pPr>
        <w:pStyle w:val="Handoutnumberedparagraph"/>
        <w:tabs>
          <w:tab w:val="clear" w:pos="540"/>
          <w:tab w:val="clear" w:pos="1080"/>
          <w:tab w:val="left" w:pos="9360"/>
        </w:tabs>
        <w:ind w:left="0" w:firstLine="0"/>
        <w:rPr>
          <w:u w:val="single"/>
        </w:rPr>
      </w:pPr>
      <w:r>
        <w:rPr>
          <w:u w:val="single"/>
        </w:rPr>
        <w:tab/>
      </w:r>
    </w:p>
    <w:p w14:paraId="0B4D5D44" w14:textId="77777777" w:rsidR="00C264B4" w:rsidRDefault="00C264B4" w:rsidP="00C264B4">
      <w:pPr>
        <w:pStyle w:val="Handoutnumberedparagraph"/>
      </w:pPr>
      <w:r>
        <w:t>Explain how it is different.</w:t>
      </w:r>
    </w:p>
    <w:p w14:paraId="31FFBC9E" w14:textId="77777777" w:rsidR="00C264B4" w:rsidRDefault="00C264B4" w:rsidP="00C264B4">
      <w:pPr>
        <w:pStyle w:val="Handoutnumberedparagraph"/>
        <w:tabs>
          <w:tab w:val="clear" w:pos="540"/>
          <w:tab w:val="clear" w:pos="1080"/>
          <w:tab w:val="left" w:pos="9360"/>
        </w:tabs>
        <w:spacing w:after="0"/>
        <w:ind w:left="0" w:firstLine="0"/>
        <w:rPr>
          <w:u w:val="single"/>
        </w:rPr>
      </w:pPr>
      <w:r>
        <w:rPr>
          <w:u w:val="single"/>
        </w:rPr>
        <w:tab/>
      </w:r>
    </w:p>
    <w:p w14:paraId="11481FD1" w14:textId="35F7BA57" w:rsidR="00076227" w:rsidRPr="001761F1" w:rsidRDefault="00076227" w:rsidP="00C264B4">
      <w:pPr>
        <w:spacing w:line="240" w:lineRule="auto"/>
        <w:rPr>
          <w:rFonts w:ascii="Calibri" w:hAnsi="Calibri" w:cs="Calibri"/>
          <w:sz w:val="24"/>
          <w:szCs w:val="24"/>
        </w:rPr>
      </w:pPr>
    </w:p>
    <w:sectPr w:rsidR="00076227" w:rsidRPr="001761F1" w:rsidSect="00000466">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5D7EA220"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7B42C3">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0855" w14:textId="2B1B9B2A" w:rsidR="00000466" w:rsidRPr="00000466" w:rsidRDefault="00000466" w:rsidP="00000466">
    <w:pPr>
      <w:pStyle w:val="Heading3"/>
      <w:rPr>
        <w:b w:val="0"/>
        <w:i/>
        <w:sz w:val="28"/>
        <w:szCs w:val="28"/>
      </w:rPr>
    </w:pPr>
    <w:r w:rsidRPr="00000466">
      <w:rPr>
        <w:b w:val="0"/>
        <w:i/>
        <w:sz w:val="28"/>
        <w:szCs w:val="28"/>
      </w:rPr>
      <w:t>AR Remediation Plan –Volume and Surface Area</w:t>
    </w:r>
  </w:p>
  <w:p w14:paraId="1343608D" w14:textId="5B9CD81C" w:rsidR="00000466" w:rsidRDefault="00000466">
    <w:pPr>
      <w:pStyle w:val="Header"/>
    </w:pP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26"/>
  </w:num>
  <w:num w:numId="3">
    <w:abstractNumId w:val="1"/>
  </w:num>
  <w:num w:numId="4">
    <w:abstractNumId w:val="12"/>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7"/>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9"/>
  </w:num>
  <w:num w:numId="22">
    <w:abstractNumId w:val="32"/>
  </w:num>
  <w:num w:numId="23">
    <w:abstractNumId w:val="8"/>
  </w:num>
  <w:num w:numId="24">
    <w:abstractNumId w:val="28"/>
  </w:num>
  <w:num w:numId="25">
    <w:abstractNumId w:val="23"/>
  </w:num>
  <w:num w:numId="26">
    <w:abstractNumId w:val="24"/>
  </w:num>
  <w:num w:numId="27">
    <w:abstractNumId w:val="14"/>
  </w:num>
  <w:num w:numId="28">
    <w:abstractNumId w:val="16"/>
  </w:num>
  <w:num w:numId="29">
    <w:abstractNumId w:val="6"/>
  </w:num>
  <w:num w:numId="30">
    <w:abstractNumId w:val="5"/>
  </w:num>
  <w:num w:numId="31">
    <w:abstractNumId w:val="3"/>
  </w:num>
  <w:num w:numId="32">
    <w:abstractNumId w:val="9"/>
  </w:num>
  <w:num w:numId="33">
    <w:abstractNumId w:val="25"/>
  </w:num>
  <w:num w:numId="34">
    <w:abstractNumId w:val="22"/>
  </w:num>
  <w:num w:numId="35">
    <w:abstractNumId w:val="18"/>
  </w:num>
  <w:num w:numId="36">
    <w:abstractNumId w:val="10"/>
  </w:num>
  <w:num w:numId="37">
    <w:abstractNumId w:val="19"/>
  </w:num>
  <w:num w:numId="38">
    <w:abstractNumId w:val="27"/>
  </w:num>
  <w:num w:numId="39">
    <w:abstractNumId w:val="11"/>
  </w:num>
  <w:num w:numId="40">
    <w:abstractNumId w:val="4"/>
  </w:num>
  <w:num w:numId="41">
    <w:abstractNumId w:val="17"/>
  </w:num>
  <w:num w:numId="42">
    <w:abstractNumId w:val="20"/>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0466"/>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4AB"/>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42C3"/>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185C"/>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0F1A"/>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o:colormru v:ext="edit" colors="#ddd"/>
    </o:shapedefaults>
    <o:shapelayout v:ext="edit">
      <o:idmap v:ext="edit" data="1"/>
    </o:shapelayout>
  </w:shapeDefaults>
  <w:decimalSymbol w:val="."/>
  <w:listSeparator w:val=","/>
  <w14:docId w14:val="2A026CC8"/>
  <w15:docId w15:val="{A8285FBC-737F-4645-8F7E-228AAEB4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uiPriority w:val="99"/>
    <w:rsid w:val="00000466"/>
    <w:rPr>
      <w:rFonts w:ascii="Arial" w:hAnsi="Arial"/>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3900</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4</cp:revision>
  <cp:lastPrinted>2012-02-01T18:10:00Z</cp:lastPrinted>
  <dcterms:created xsi:type="dcterms:W3CDTF">2018-09-07T16:20:00Z</dcterms:created>
  <dcterms:modified xsi:type="dcterms:W3CDTF">2018-10-12T16:35:00Z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