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2DA8" w14:textId="77777777" w:rsidR="00D7296D" w:rsidRPr="00A74B0F" w:rsidRDefault="00D7296D" w:rsidP="00D7296D">
      <w:pPr>
        <w:pStyle w:val="Heading1"/>
        <w:rPr>
          <w:rFonts w:ascii="Times New Roman" w:hAnsi="Times New Roman" w:cs="Times New Roman"/>
          <w:color w:val="003C71"/>
        </w:rPr>
      </w:pPr>
      <w:bookmarkStart w:id="0" w:name="_Toc126854967"/>
      <w:bookmarkStart w:id="1" w:name="_Toc1705988178"/>
      <w:r w:rsidRPr="0BEACD22">
        <w:rPr>
          <w:rFonts w:ascii="Times New Roman" w:hAnsi="Times New Roman" w:cs="Times New Roman"/>
          <w:color w:val="003C71"/>
        </w:rPr>
        <w:t>Career and Technical Education</w:t>
      </w:r>
      <w:bookmarkEnd w:id="0"/>
      <w:r w:rsidRPr="0BEACD22">
        <w:rPr>
          <w:rFonts w:ascii="Times New Roman" w:hAnsi="Times New Roman" w:cs="Times New Roman"/>
          <w:color w:val="003C71"/>
        </w:rPr>
        <w:t xml:space="preserve"> </w:t>
      </w:r>
      <w:bookmarkEnd w:id="1"/>
    </w:p>
    <w:p w14:paraId="608F3CCD" w14:textId="77777777" w:rsidR="00D7296D" w:rsidRPr="00A74B0F" w:rsidRDefault="00D7296D" w:rsidP="00D7296D">
      <w:pPr>
        <w:pStyle w:val="Heading1"/>
        <w:spacing w:after="240"/>
        <w:rPr>
          <w:rFonts w:ascii="Times New Roman" w:hAnsi="Times New Roman" w:cs="Times New Roman"/>
          <w:color w:val="003C71"/>
        </w:rPr>
      </w:pPr>
      <w:bookmarkStart w:id="2" w:name="_Toc126854968"/>
      <w:bookmarkStart w:id="3" w:name="_Toc130377793"/>
      <w:bookmarkStart w:id="4" w:name="_Toc1229703840"/>
      <w:r w:rsidRPr="0BEACD22">
        <w:rPr>
          <w:rFonts w:ascii="Times New Roman" w:hAnsi="Times New Roman" w:cs="Times New Roman"/>
          <w:color w:val="003C71"/>
        </w:rPr>
        <w:t>High-Quality Work-Based Learning Opportunities</w:t>
      </w:r>
      <w:bookmarkStart w:id="5" w:name="_Toc126854969"/>
      <w:bookmarkEnd w:id="2"/>
      <w:r>
        <w:br/>
      </w:r>
      <w:r w:rsidRPr="0BEACD22">
        <w:rPr>
          <w:rFonts w:ascii="Times New Roman" w:hAnsi="Times New Roman" w:cs="Times New Roman"/>
          <w:color w:val="003C71"/>
        </w:rPr>
        <w:t>in Virginia</w:t>
      </w:r>
      <w:bookmarkEnd w:id="3"/>
      <w:bookmarkEnd w:id="4"/>
      <w:bookmarkEnd w:id="5"/>
    </w:p>
    <w:p w14:paraId="721C7C35" w14:textId="77777777" w:rsidR="00D7296D" w:rsidRDefault="00D7296D" w:rsidP="00D72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ADB">
        <w:rPr>
          <w:rFonts w:ascii="Times New Roman" w:hAnsi="Times New Roman" w:cs="Times New Roman"/>
          <w:sz w:val="24"/>
          <w:szCs w:val="24"/>
        </w:rPr>
        <w:t>Career and Technical Education</w:t>
      </w:r>
      <w:r>
        <w:rPr>
          <w:rFonts w:ascii="Times New Roman" w:hAnsi="Times New Roman" w:cs="Times New Roman"/>
          <w:sz w:val="24"/>
          <w:szCs w:val="24"/>
        </w:rPr>
        <w:t xml:space="preserve"> (CTE)</w:t>
      </w:r>
      <w:r w:rsidRPr="00B36ADB">
        <w:rPr>
          <w:rFonts w:ascii="Times New Roman" w:hAnsi="Times New Roman" w:cs="Times New Roman"/>
          <w:sz w:val="24"/>
          <w:szCs w:val="24"/>
        </w:rPr>
        <w:t xml:space="preserve"> High-Quality Work-Based Learning</w:t>
      </w:r>
      <w:r>
        <w:rPr>
          <w:rFonts w:ascii="Times New Roman" w:hAnsi="Times New Roman" w:cs="Times New Roman"/>
          <w:sz w:val="24"/>
          <w:szCs w:val="24"/>
        </w:rPr>
        <w:t xml:space="preserve"> (HQWBL)</w:t>
      </w:r>
      <w:r w:rsidRPr="00B36ADB">
        <w:rPr>
          <w:rFonts w:ascii="Times New Roman" w:hAnsi="Times New Roman" w:cs="Times New Roman"/>
          <w:sz w:val="24"/>
          <w:szCs w:val="24"/>
        </w:rPr>
        <w:t xml:space="preserve"> comprises experiences related to students’ career interests based on instructional preparation and take place in partnership with local businesses or organizations. CTE HQWBL enables students to apply classroom instruction in a real-world work environment. CTE HQWBL promotes the following:</w:t>
      </w:r>
    </w:p>
    <w:p w14:paraId="49D5E122" w14:textId="77777777" w:rsidR="00D7296D" w:rsidRPr="00B36ADB" w:rsidRDefault="00D7296D" w:rsidP="00D72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AB423" w14:textId="77777777" w:rsidR="00D7296D" w:rsidRPr="00B36ADB" w:rsidRDefault="00D7296D" w:rsidP="00D7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ADB">
        <w:rPr>
          <w:rFonts w:ascii="Times New Roman" w:hAnsi="Times New Roman" w:cs="Times New Roman"/>
          <w:color w:val="000000"/>
          <w:sz w:val="24"/>
          <w:szCs w:val="24"/>
        </w:rPr>
        <w:t>Career awareness</w:t>
      </w:r>
    </w:p>
    <w:p w14:paraId="5A4D73F0" w14:textId="77777777" w:rsidR="00D7296D" w:rsidRPr="00B36ADB" w:rsidRDefault="00D7296D" w:rsidP="00D7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ADB">
        <w:rPr>
          <w:rFonts w:ascii="Times New Roman" w:hAnsi="Times New Roman" w:cs="Times New Roman"/>
          <w:color w:val="000000"/>
          <w:sz w:val="24"/>
          <w:szCs w:val="24"/>
        </w:rPr>
        <w:t>Career exploration</w:t>
      </w:r>
    </w:p>
    <w:p w14:paraId="68659421" w14:textId="77777777" w:rsidR="00D7296D" w:rsidRPr="00B36ADB" w:rsidRDefault="00D7296D" w:rsidP="00D7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ADB">
        <w:rPr>
          <w:rFonts w:ascii="Times New Roman" w:hAnsi="Times New Roman" w:cs="Times New Roman"/>
          <w:color w:val="000000"/>
          <w:sz w:val="24"/>
          <w:szCs w:val="24"/>
        </w:rPr>
        <w:t>Career preparation</w:t>
      </w:r>
    </w:p>
    <w:tbl>
      <w:tblPr>
        <w:tblW w:w="1052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00" w:firstRow="0" w:lastRow="0" w:firstColumn="0" w:lastColumn="0" w:noHBand="0" w:noVBand="1"/>
      </w:tblPr>
      <w:tblGrid>
        <w:gridCol w:w="1975"/>
        <w:gridCol w:w="900"/>
        <w:gridCol w:w="900"/>
        <w:gridCol w:w="720"/>
        <w:gridCol w:w="630"/>
        <w:gridCol w:w="2160"/>
        <w:gridCol w:w="540"/>
        <w:gridCol w:w="735"/>
        <w:gridCol w:w="990"/>
        <w:gridCol w:w="975"/>
      </w:tblGrid>
      <w:tr w:rsidR="00D7296D" w:rsidRPr="00B36ADB" w14:paraId="4DE52F5F" w14:textId="77777777" w:rsidTr="00CA5CD5">
        <w:trPr>
          <w:cantSplit/>
          <w:trHeight w:val="424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9CF1" w14:textId="77777777" w:rsidR="00D7296D" w:rsidRPr="00B36ADB" w:rsidRDefault="00D7296D" w:rsidP="00CA5CD5">
            <w:pPr>
              <w:spacing w:before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CTE HQWBL Experience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8C1930D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Suggested Grade Levels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5336132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Related CTE Instruction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F247E3A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Training Agreement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60B405B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Training Plan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8B088E5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Minimum Duration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780AEFB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Paid Option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9B58" w14:textId="77777777" w:rsidR="00D7296D" w:rsidRPr="00DF0E5F" w:rsidRDefault="00D7296D" w:rsidP="00CA5CD5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E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When associated with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F0E5F">
              <w:rPr>
                <w:rFonts w:ascii="Times New Roman" w:hAnsi="Times New Roman" w:cs="Times New Roman"/>
                <w:b/>
                <w:sz w:val="16"/>
                <w:szCs w:val="16"/>
              </w:rPr>
              <w:t>high school course</w:t>
            </w:r>
          </w:p>
        </w:tc>
      </w:tr>
      <w:tr w:rsidR="00D7296D" w:rsidRPr="00B36ADB" w14:paraId="6F5B00B5" w14:textId="77777777" w:rsidTr="00CA5CD5">
        <w:trPr>
          <w:cantSplit/>
          <w:trHeight w:val="64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3663" w14:textId="77777777" w:rsidR="00D7296D" w:rsidRPr="00B36ADB" w:rsidRDefault="00D7296D" w:rsidP="00CA5CD5">
            <w:pPr>
              <w:spacing w:before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8CE5CDD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FCD6F83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73BDDA4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EB2A961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718CF0B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DCBCCE8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E80E069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2DE6FF" w14:textId="77777777" w:rsidR="00D7296D" w:rsidRPr="00DF0E5F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E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Meets Graduation Requirement </w:t>
            </w:r>
          </w:p>
          <w:p w14:paraId="0903B016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D8701BF" w14:textId="77777777" w:rsidR="00D7296D" w:rsidRPr="00B36ADB" w:rsidRDefault="00D7296D" w:rsidP="00CA5CD5">
            <w:pPr>
              <w:ind w:left="115"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CCCRI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296D" w:rsidRPr="00B36ADB" w14:paraId="54869144" w14:textId="77777777" w:rsidTr="00CA5CD5">
        <w:trPr>
          <w:trHeight w:val="14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71791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Job Shadowing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FDA3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115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9692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0FA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E88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Varies by type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D2A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D07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907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1AC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96D" w:rsidRPr="00B36ADB" w14:paraId="50DD67CD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C328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Service Learning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AD1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651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F8B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7A5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7773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Varies by type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3CC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D3E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9D8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493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2FDAB42F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F79E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Externship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419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10F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DEC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5CF7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5B2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40 hours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B95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4ED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5B1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  <w:r w:rsidRPr="00B36ADB">
              <w:rPr>
                <w:rFonts w:ascii="Times New Roman" w:eastAsia="Wingdings" w:hAnsi="Times New Roman" w:cs="Times New Roman"/>
                <w:b/>
                <w:bCs/>
              </w:rPr>
              <w:br/>
            </w: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 xml:space="preserve"> (at least 40 hours)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D09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  <w:r w:rsidRPr="00B36ADB">
              <w:rPr>
                <w:rFonts w:ascii="Times New Roman" w:eastAsia="Wingdings" w:hAnsi="Times New Roman" w:cs="Times New Roman"/>
                <w:b/>
                <w:bCs/>
              </w:rPr>
              <w:br/>
            </w: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 xml:space="preserve"> (at least 40 hours)</w:t>
            </w:r>
          </w:p>
        </w:tc>
      </w:tr>
      <w:tr w:rsidR="00D7296D" w:rsidRPr="00B36ADB" w14:paraId="08D7D1C0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3BDF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School-Based Enterprise</w:t>
            </w:r>
            <w:r w:rsidRPr="00B36A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E12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95A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F4E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9987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3E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Course duration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AC39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D5F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DEC5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E437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305D7452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655F7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Mentorship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CCC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E02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8EB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8B0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59E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Course duration or 140 hours for .5 credit option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AC49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320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0C2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  <w:r w:rsidRPr="00B36ADB"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  <w:br/>
            </w:r>
            <w:r w:rsidRPr="00B36ADB" w:rsidDel="000E6AF0">
              <w:rPr>
                <w:rFonts w:ascii="Times New Roman" w:eastAsia="Wingdings" w:hAnsi="Times New Roman" w:cs="Times New Roman"/>
                <w:sz w:val="18"/>
                <w:szCs w:val="18"/>
              </w:rPr>
              <w:t xml:space="preserve"> </w:t>
            </w: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(at least 140 hours)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9ED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  <w:r w:rsidRPr="00B36ADB"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  <w:br/>
            </w: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(at least 140 hours)</w:t>
            </w:r>
          </w:p>
        </w:tc>
      </w:tr>
      <w:tr w:rsidR="00D7296D" w:rsidRPr="00B36ADB" w14:paraId="77DA1AFD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0B4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Internship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24BC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14B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8BB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213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87A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Course duration or 280 hours for 1 credit option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27B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0A25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FA8C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7CC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5C841C4E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5D9D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Entrepreneurship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13B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6E5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5E1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50F5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995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Course duration or 280 hours for 1 credit option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E892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2D8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649D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CD1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4EE97087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C456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Cooperative Education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F59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FC8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28C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252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0DFC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280 hours for 1 credit option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3FD6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AC9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F68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F68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63F9BBDF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D7B0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SAE (Immersion)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635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CEF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6C8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8CB6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1BF3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280 hours for 1 credit option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2074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E08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55F7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CF47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34A0CC9D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351F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Clinical Experience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E1A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3D4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C22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10FD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8F2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Varies by type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A65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134C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01FB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DCF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3A9DD23E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6C51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Youth Registered Apprenticeship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2BA1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8EE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6F29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7507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4E35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280 hours for 1 credit option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17B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178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8C62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77BA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D7296D" w:rsidRPr="00B36ADB" w14:paraId="35246039" w14:textId="77777777" w:rsidTr="00CA5CD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6CCA" w14:textId="77777777" w:rsidR="00D7296D" w:rsidRPr="00B36ADB" w:rsidRDefault="00D7296D" w:rsidP="00CA5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b/>
                <w:sz w:val="18"/>
                <w:szCs w:val="18"/>
              </w:rPr>
              <w:t>Registered Apprenticeship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5A2C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2D30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7728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28DF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F012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144 hours RTI 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ADB">
              <w:rPr>
                <w:rFonts w:ascii="Times New Roman" w:hAnsi="Times New Roman" w:cs="Times New Roman"/>
                <w:sz w:val="18"/>
                <w:szCs w:val="18"/>
              </w:rPr>
              <w:t>2,000 hours OJT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9C29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9E85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350C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9FA4E" w14:textId="77777777" w:rsidR="00D7296D" w:rsidRPr="00B36ADB" w:rsidRDefault="00D7296D" w:rsidP="00CA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DB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</w:tbl>
    <w:p w14:paraId="4F8C3509" w14:textId="77777777" w:rsidR="00D7296D" w:rsidRPr="00EB3809" w:rsidRDefault="00D7296D" w:rsidP="00D729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809">
        <w:rPr>
          <w:rFonts w:ascii="Times New Roman" w:hAnsi="Times New Roman" w:cs="Times New Roman"/>
          <w:color w:val="000000"/>
          <w:sz w:val="24"/>
          <w:szCs w:val="24"/>
        </w:rPr>
        <w:t xml:space="preserve">There are 12 CTE </w:t>
      </w:r>
      <w:r w:rsidRPr="00EB3809">
        <w:rPr>
          <w:rFonts w:ascii="Times New Roman" w:hAnsi="Times New Roman" w:cs="Times New Roman"/>
          <w:sz w:val="24"/>
          <w:szCs w:val="24"/>
        </w:rPr>
        <w:t>HQWBL</w:t>
      </w:r>
      <w:r w:rsidRPr="00EB3809">
        <w:rPr>
          <w:rFonts w:ascii="Times New Roman" w:hAnsi="Times New Roman" w:cs="Times New Roman"/>
          <w:color w:val="000000"/>
          <w:sz w:val="24"/>
          <w:szCs w:val="24"/>
        </w:rPr>
        <w:t xml:space="preserve"> experiences offered in Virginia. This summary page offers a quick checklist guide for each experience. </w:t>
      </w:r>
    </w:p>
    <w:p w14:paraId="35BBF323" w14:textId="3788DDF3" w:rsidR="0001553D" w:rsidRPr="00CB3624" w:rsidRDefault="00CB3624" w:rsidP="00CB362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B3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Refer to the Career and Technical Education High Quality Work-Based Learning Guide to explore each experience in more detail</w:t>
      </w:r>
      <w:r w:rsidRPr="00CB3624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 </w:t>
      </w:r>
    </w:p>
    <w:sectPr w:rsidR="0001553D" w:rsidRPr="00CB3624" w:rsidSect="00D72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0153"/>
    <w:multiLevelType w:val="multilevel"/>
    <w:tmpl w:val="E13A1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305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6D"/>
    <w:rsid w:val="0001553D"/>
    <w:rsid w:val="00103508"/>
    <w:rsid w:val="00192242"/>
    <w:rsid w:val="001D6F49"/>
    <w:rsid w:val="005509F2"/>
    <w:rsid w:val="00660D41"/>
    <w:rsid w:val="0081733F"/>
    <w:rsid w:val="00BC3CDA"/>
    <w:rsid w:val="00CB3624"/>
    <w:rsid w:val="00CC45E8"/>
    <w:rsid w:val="00D7296D"/>
    <w:rsid w:val="00DB008D"/>
    <w:rsid w:val="00E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C84"/>
  <w15:chartTrackingRefBased/>
  <w15:docId w15:val="{E8B24681-98A5-4BBF-AE17-C646DE60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6D"/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7296D"/>
    <w:pPr>
      <w:spacing w:after="0" w:line="240" w:lineRule="auto"/>
      <w:jc w:val="center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96D"/>
    <w:rPr>
      <w:rFonts w:ascii="Calibri" w:eastAsia="Calibri" w:hAnsi="Calibri" w:cs="Calibri"/>
      <w:b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E3BF2FBB1E419274107E8E8459E7" ma:contentTypeVersion="14" ma:contentTypeDescription="Create a new document." ma:contentTypeScope="" ma:versionID="f139066b31d6b6bd2434c3375a16c63b">
  <xsd:schema xmlns:xsd="http://www.w3.org/2001/XMLSchema" xmlns:xs="http://www.w3.org/2001/XMLSchema" xmlns:p="http://schemas.microsoft.com/office/2006/metadata/properties" xmlns:ns2="e85b39d3-dae7-4504-b221-c41b7203465c" xmlns:ns3="a77eba5a-b42c-458e-afc6-94c48005fa8c" targetNamespace="http://schemas.microsoft.com/office/2006/metadata/properties" ma:root="true" ma:fieldsID="f0919a70ad30613ebaae0417ee855d9c" ns2:_="" ns3:_="">
    <xsd:import namespace="e85b39d3-dae7-4504-b221-c41b7203465c"/>
    <xsd:import namespace="a77eba5a-b42c-458e-afc6-94c48005f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39d3-dae7-4504-b221-c41b72034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ba5a-b42c-458e-afc6-94c48005f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a823de-f30c-4a52-b878-0bbde9a12e8e}" ma:internalName="TaxCatchAll" ma:showField="CatchAllData" ma:web="a77eba5a-b42c-458e-afc6-94c48005f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b39d3-dae7-4504-b221-c41b7203465c">
      <Terms xmlns="http://schemas.microsoft.com/office/infopath/2007/PartnerControls"/>
    </lcf76f155ced4ddcb4097134ff3c332f>
    <TaxCatchAll xmlns="a77eba5a-b42c-458e-afc6-94c48005fa8c" xsi:nil="true"/>
  </documentManagement>
</p:properties>
</file>

<file path=customXml/itemProps1.xml><?xml version="1.0" encoding="utf-8"?>
<ds:datastoreItem xmlns:ds="http://schemas.openxmlformats.org/officeDocument/2006/customXml" ds:itemID="{F0E03334-1938-459F-8757-865FCD9D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39d3-dae7-4504-b221-c41b7203465c"/>
    <ds:schemaRef ds:uri="a77eba5a-b42c-458e-afc6-94c48005f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1DAE2-16D4-46A0-BB48-49536C7F7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89303-4AED-45E4-ADC1-D0CECF99F1C2}">
  <ds:schemaRefs>
    <ds:schemaRef ds:uri="http://schemas.microsoft.com/office/2006/metadata/properties"/>
    <ds:schemaRef ds:uri="http://schemas.microsoft.com/office/infopath/2007/PartnerControls"/>
    <ds:schemaRef ds:uri="e85b39d3-dae7-4504-b221-c41b7203465c"/>
    <ds:schemaRef ds:uri="a77eba5a-b42c-458e-afc6-94c48005fa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VITA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Jan (DOE)</dc:creator>
  <cp:keywords/>
  <dc:description/>
  <cp:lastModifiedBy>Charney, Karen (DOE)</cp:lastModifiedBy>
  <cp:revision>3</cp:revision>
  <dcterms:created xsi:type="dcterms:W3CDTF">2023-10-03T12:38:00Z</dcterms:created>
  <dcterms:modified xsi:type="dcterms:W3CDTF">2023-10-03T15:00:00Z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0x0101004019E3BF2FBB1E419274107E8E8459E7</vt:lpwstr>
  </property>
</Properties>
</file>