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9BDB" w14:textId="2DE532CB"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641AA0">
        <w:t>2020-2021-</w:t>
      </w:r>
      <w:r w:rsidR="002B4BF6">
        <w:t>63</w:t>
      </w:r>
    </w:p>
    <w:p w14:paraId="3AD8EE56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6494D5E6" wp14:editId="3CDED35D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2F3C218D" w14:textId="4CDA54D6" w:rsidR="00167950" w:rsidRPr="00A65EE6" w:rsidRDefault="00167950" w:rsidP="00167950">
      <w:r w:rsidRPr="00A65EE6">
        <w:t xml:space="preserve">DATE: </w:t>
      </w:r>
      <w:r w:rsidR="002B4BF6">
        <w:t>June 17</w:t>
      </w:r>
      <w:r w:rsidR="000E1C46">
        <w:t>, 2021</w:t>
      </w:r>
    </w:p>
    <w:p w14:paraId="30DFDC90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171D5EF3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5CD05390" w14:textId="42B8C69F"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051251">
        <w:rPr>
          <w:sz w:val="32"/>
        </w:rPr>
        <w:t>Establishing</w:t>
      </w:r>
      <w:r w:rsidR="00732072">
        <w:rPr>
          <w:sz w:val="32"/>
        </w:rPr>
        <w:t xml:space="preserve"> Summer Food Service Program Sites Using Census Data</w:t>
      </w:r>
    </w:p>
    <w:p w14:paraId="33EBB102" w14:textId="3E53530D" w:rsidR="00732072" w:rsidRDefault="00692B9F" w:rsidP="00692B9F">
      <w:r>
        <w:t>The purpose of this memo is to provide guidance to</w:t>
      </w:r>
      <w:r w:rsidR="00732072">
        <w:t xml:space="preserve"> sponsoring organizations on </w:t>
      </w:r>
      <w:r w:rsidR="00051251">
        <w:t>establishing area eligibility for</w:t>
      </w:r>
      <w:r w:rsidR="00732072">
        <w:t xml:space="preserve"> Summer Food Service Program (SFSP) sites using Census data.</w:t>
      </w:r>
    </w:p>
    <w:p w14:paraId="038B200F" w14:textId="58C7837E" w:rsidR="00732072" w:rsidRDefault="00732072" w:rsidP="00692B9F">
      <w:r>
        <w:t xml:space="preserve">Effective immediately, and only for </w:t>
      </w:r>
      <w:r w:rsidRPr="00732072">
        <w:rPr>
          <w:b/>
          <w:i/>
        </w:rPr>
        <w:t>newly added sites that are area eligible through Census data</w:t>
      </w:r>
      <w:r>
        <w:t xml:space="preserve">, sponsoring organizations must </w:t>
      </w:r>
      <w:r w:rsidR="00051251">
        <w:t>submit</w:t>
      </w:r>
      <w:r>
        <w:t xml:space="preserve"> </w:t>
      </w:r>
      <w:r w:rsidR="00944673">
        <w:t xml:space="preserve">supporting documentation to verify </w:t>
      </w:r>
      <w:r>
        <w:t xml:space="preserve">the area eligible determination. </w:t>
      </w:r>
      <w:r w:rsidR="00944673">
        <w:t>Supporting documentation may b</w:t>
      </w:r>
      <w:r w:rsidR="00051251">
        <w:t xml:space="preserve">e a screenshot, screen grab, </w:t>
      </w:r>
      <w:r w:rsidR="00944673">
        <w:t>screen print</w:t>
      </w:r>
      <w:r w:rsidR="00051251">
        <w:t>, etc.</w:t>
      </w:r>
      <w:r w:rsidR="00944673">
        <w:t xml:space="preserve"> and it should be </w:t>
      </w:r>
      <w:r>
        <w:t xml:space="preserve">uploaded to the </w:t>
      </w:r>
      <w:r w:rsidRPr="002B4BF6">
        <w:rPr>
          <w:i/>
          <w:iCs/>
        </w:rPr>
        <w:t>Attachments</w:t>
      </w:r>
      <w:r>
        <w:t xml:space="preserve"> section in the current program year application</w:t>
      </w:r>
      <w:r w:rsidR="000E1C46">
        <w:t xml:space="preserve"> in SNPWeb</w:t>
      </w:r>
      <w:r>
        <w:t>.</w:t>
      </w:r>
    </w:p>
    <w:p w14:paraId="01B3FB4D" w14:textId="47E5F644" w:rsidR="00732072" w:rsidRDefault="00732072" w:rsidP="00692B9F">
      <w:r>
        <w:t xml:space="preserve">The Virginia Department of Education, Office of School Nutrition Programs (VDOE-SNP) recommends using the Food Research and Action Center’s </w:t>
      </w:r>
      <w:hyperlink r:id="rId10" w:history="1">
        <w:r w:rsidRPr="00732072">
          <w:rPr>
            <w:rStyle w:val="Hyperlink"/>
          </w:rPr>
          <w:t>Summer Mapper</w:t>
        </w:r>
      </w:hyperlink>
      <w:r>
        <w:t xml:space="preserve"> or No Kid Hungry’s </w:t>
      </w:r>
      <w:hyperlink r:id="rId11" w:history="1">
        <w:r w:rsidRPr="00732072">
          <w:rPr>
            <w:rStyle w:val="Hyperlink"/>
          </w:rPr>
          <w:t>Averaged Eligibility Map</w:t>
        </w:r>
      </w:hyperlink>
      <w:r>
        <w:t xml:space="preserve"> when establishing area eligibility using Census data.</w:t>
      </w:r>
    </w:p>
    <w:p w14:paraId="5C256698" w14:textId="790C5C93" w:rsidR="00944673" w:rsidRDefault="00944673" w:rsidP="00692B9F">
      <w:r>
        <w:t>Once area eligibility is established using Census data, the site is qualified for five years</w:t>
      </w:r>
    </w:p>
    <w:p w14:paraId="7E564590" w14:textId="6A487181" w:rsidR="00944673" w:rsidRDefault="00944673" w:rsidP="00692B9F">
      <w:r>
        <w:t xml:space="preserve">Due to </w:t>
      </w:r>
      <w:r w:rsidRPr="002B4BF6">
        <w:rPr>
          <w:i/>
          <w:iCs/>
        </w:rPr>
        <w:t>COVID-19: Child Nutrition Response #77</w:t>
      </w:r>
      <w:r>
        <w:t xml:space="preserve">, area eligibility is waived in the SFSP through September 30, 2021. However, sites that are located in areas that are traditionally area eligible should continue to </w:t>
      </w:r>
      <w:r w:rsidR="00051251">
        <w:t xml:space="preserve">establish area eligibility </w:t>
      </w:r>
      <w:r>
        <w:t xml:space="preserve">using either Census or school attendance zone data. </w:t>
      </w:r>
    </w:p>
    <w:p w14:paraId="2D678357" w14:textId="3BBBDF5C" w:rsidR="00692B9F" w:rsidRDefault="00051251" w:rsidP="00692B9F">
      <w:pPr>
        <w:pStyle w:val="Heading3"/>
        <w:rPr>
          <w:sz w:val="24"/>
        </w:rPr>
      </w:pPr>
      <w:r>
        <w:rPr>
          <w:sz w:val="24"/>
        </w:rPr>
        <w:t>Instructions for Uploading Documents to SNPWeb Attachments Section</w:t>
      </w:r>
    </w:p>
    <w:p w14:paraId="6049AA79" w14:textId="77777777" w:rsidR="00051251" w:rsidRDefault="00051251" w:rsidP="00051251">
      <w:pPr>
        <w:pStyle w:val="TNRNormal"/>
        <w:numPr>
          <w:ilvl w:val="0"/>
          <w:numId w:val="2"/>
        </w:numPr>
        <w:spacing w:line="276" w:lineRule="auto"/>
      </w:pPr>
      <w:r>
        <w:t xml:space="preserve">Log into </w:t>
      </w:r>
      <w:hyperlink r:id="rId12" w:history="1">
        <w:r>
          <w:rPr>
            <w:rStyle w:val="Hyperlink"/>
          </w:rPr>
          <w:t>SNPWeb</w:t>
        </w:r>
      </w:hyperlink>
      <w:r>
        <w:t>.</w:t>
      </w:r>
    </w:p>
    <w:p w14:paraId="051DBBED" w14:textId="783756AC" w:rsidR="00051251" w:rsidRDefault="00051251" w:rsidP="00051251">
      <w:pPr>
        <w:pStyle w:val="ListParagraph"/>
        <w:widowControl w:val="0"/>
        <w:numPr>
          <w:ilvl w:val="0"/>
          <w:numId w:val="2"/>
        </w:numPr>
        <w:spacing w:line="276" w:lineRule="auto"/>
        <w:contextualSpacing/>
      </w:pPr>
      <w:r>
        <w:t xml:space="preserve">Select the </w:t>
      </w:r>
      <w:r w:rsidRPr="007F616B">
        <w:rPr>
          <w:b/>
        </w:rPr>
        <w:t>red tile</w:t>
      </w:r>
      <w:r>
        <w:t xml:space="preserve"> for the </w:t>
      </w:r>
      <w:r w:rsidR="000E1C46">
        <w:t>SFSP</w:t>
      </w:r>
      <w:r>
        <w:t>.</w:t>
      </w:r>
    </w:p>
    <w:p w14:paraId="60BF3003" w14:textId="6E906B4D" w:rsidR="00051251" w:rsidRDefault="00051251" w:rsidP="00051251">
      <w:pPr>
        <w:pStyle w:val="ListParagraph"/>
        <w:widowControl w:val="0"/>
        <w:numPr>
          <w:ilvl w:val="0"/>
          <w:numId w:val="2"/>
        </w:numPr>
        <w:spacing w:line="276" w:lineRule="auto"/>
        <w:contextualSpacing/>
      </w:pPr>
      <w:r>
        <w:t xml:space="preserve">Select the </w:t>
      </w:r>
      <w:r w:rsidRPr="002B4BF6">
        <w:rPr>
          <w:b/>
          <w:i/>
          <w:iCs/>
        </w:rPr>
        <w:t>Applications</w:t>
      </w:r>
      <w:r>
        <w:t xml:space="preserve"> tab.</w:t>
      </w:r>
    </w:p>
    <w:p w14:paraId="21A1D6C8" w14:textId="0EC825E1" w:rsidR="00051251" w:rsidRDefault="00051251" w:rsidP="00051251">
      <w:pPr>
        <w:pStyle w:val="ListParagraph"/>
        <w:widowControl w:val="0"/>
        <w:numPr>
          <w:ilvl w:val="0"/>
          <w:numId w:val="2"/>
        </w:numPr>
        <w:spacing w:line="276" w:lineRule="auto"/>
        <w:contextualSpacing/>
      </w:pPr>
      <w:r>
        <w:t xml:space="preserve">Select </w:t>
      </w:r>
      <w:r w:rsidRPr="002B4BF6">
        <w:rPr>
          <w:b/>
          <w:i/>
          <w:iCs/>
        </w:rPr>
        <w:t>Application Packet</w:t>
      </w:r>
      <w:r>
        <w:rPr>
          <w:b/>
        </w:rPr>
        <w:t xml:space="preserve"> </w:t>
      </w:r>
      <w:r>
        <w:t>from the items list.</w:t>
      </w:r>
    </w:p>
    <w:p w14:paraId="58B97B84" w14:textId="63232FDC" w:rsidR="00051251" w:rsidRDefault="00051251" w:rsidP="00051251">
      <w:pPr>
        <w:pStyle w:val="ListParagraph"/>
        <w:widowControl w:val="0"/>
        <w:numPr>
          <w:ilvl w:val="0"/>
          <w:numId w:val="2"/>
        </w:numPr>
        <w:spacing w:line="276" w:lineRule="auto"/>
        <w:contextualSpacing/>
      </w:pPr>
      <w:r>
        <w:t xml:space="preserve">Select </w:t>
      </w:r>
      <w:r w:rsidRPr="002B4BF6">
        <w:rPr>
          <w:b/>
          <w:i/>
          <w:iCs/>
        </w:rPr>
        <w:t>Details</w:t>
      </w:r>
      <w:r>
        <w:t xml:space="preserve"> beside </w:t>
      </w:r>
      <w:r>
        <w:rPr>
          <w:b/>
        </w:rPr>
        <w:t>Attachment List</w:t>
      </w:r>
      <w:r>
        <w:t>.</w:t>
      </w:r>
    </w:p>
    <w:p w14:paraId="5EC44E05" w14:textId="546330C7" w:rsidR="00051251" w:rsidRDefault="00051251" w:rsidP="00051251">
      <w:pPr>
        <w:pStyle w:val="ListParagraph"/>
        <w:widowControl w:val="0"/>
        <w:numPr>
          <w:ilvl w:val="0"/>
          <w:numId w:val="2"/>
        </w:numPr>
        <w:spacing w:line="276" w:lineRule="auto"/>
        <w:contextualSpacing/>
      </w:pPr>
      <w:r>
        <w:lastRenderedPageBreak/>
        <w:t xml:space="preserve">Select the red </w:t>
      </w:r>
      <w:r w:rsidRPr="002B4BF6">
        <w:rPr>
          <w:b/>
          <w:i/>
          <w:iCs/>
        </w:rPr>
        <w:t>Add Attachment</w:t>
      </w:r>
      <w:r>
        <w:t xml:space="preserve"> button.</w:t>
      </w:r>
    </w:p>
    <w:p w14:paraId="31749375" w14:textId="7B2417CD" w:rsidR="00051251" w:rsidRPr="00051251" w:rsidRDefault="00051251" w:rsidP="00051251">
      <w:pPr>
        <w:pStyle w:val="ListParagraph"/>
        <w:widowControl w:val="0"/>
        <w:numPr>
          <w:ilvl w:val="0"/>
          <w:numId w:val="2"/>
        </w:numPr>
        <w:spacing w:after="240" w:line="276" w:lineRule="auto"/>
      </w:pPr>
      <w:r>
        <w:t>Upload the files.</w:t>
      </w:r>
    </w:p>
    <w:p w14:paraId="67CE482E" w14:textId="6EF56D55" w:rsidR="00544584" w:rsidRDefault="00F50D04" w:rsidP="00167950">
      <w:pPr>
        <w:rPr>
          <w:color w:val="000000"/>
          <w:szCs w:val="24"/>
        </w:rPr>
      </w:pPr>
      <w:r>
        <w:t>If you have any questions</w:t>
      </w:r>
      <w:r w:rsidR="000E1C46">
        <w:t>,</w:t>
      </w:r>
      <w:r>
        <w:t xml:space="preserve"> </w:t>
      </w:r>
      <w:r w:rsidR="00051251">
        <w:t xml:space="preserve">please contact </w:t>
      </w:r>
      <w:r w:rsidR="000E1C46">
        <w:t>the</w:t>
      </w:r>
      <w:r w:rsidR="00BB74D5">
        <w:t xml:space="preserve"> SNP</w:t>
      </w:r>
      <w:r w:rsidR="002B4BF6">
        <w:t xml:space="preserve"> </w:t>
      </w:r>
      <w:r w:rsidR="000E1C46">
        <w:t>regional specialist assigned to your school division or</w:t>
      </w:r>
      <w:r w:rsidR="00BB74D5">
        <w:t xml:space="preserve"> CNP regional specialist assigned to </w:t>
      </w:r>
      <w:r w:rsidR="002B4BF6">
        <w:t xml:space="preserve">your </w:t>
      </w:r>
      <w:r w:rsidR="00BB74D5">
        <w:t>community</w:t>
      </w:r>
      <w:r w:rsidR="000E1C46">
        <w:t xml:space="preserve"> sponsoring organization</w:t>
      </w:r>
      <w:r w:rsidR="00051251">
        <w:t>.</w:t>
      </w:r>
    </w:p>
    <w:p w14:paraId="6FB3ECEB" w14:textId="5CD2CE80"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051251">
        <w:rPr>
          <w:color w:val="000000"/>
          <w:szCs w:val="24"/>
        </w:rPr>
        <w:t>MVP</w:t>
      </w:r>
      <w:r w:rsidR="00155125">
        <w:rPr>
          <w:color w:val="000000"/>
          <w:szCs w:val="24"/>
        </w:rPr>
        <w:t>/cc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2453D" w14:textId="77777777" w:rsidR="00AC7AE4" w:rsidRDefault="00AC7AE4" w:rsidP="00B25322">
      <w:pPr>
        <w:spacing w:after="0" w:line="240" w:lineRule="auto"/>
      </w:pPr>
      <w:r>
        <w:separator/>
      </w:r>
    </w:p>
  </w:endnote>
  <w:endnote w:type="continuationSeparator" w:id="0">
    <w:p w14:paraId="3C37DDE9" w14:textId="77777777" w:rsidR="00AC7AE4" w:rsidRDefault="00AC7AE4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C14D5" w14:textId="77777777" w:rsidR="00AC7AE4" w:rsidRDefault="00AC7AE4" w:rsidP="00B25322">
      <w:pPr>
        <w:spacing w:after="0" w:line="240" w:lineRule="auto"/>
      </w:pPr>
      <w:r>
        <w:separator/>
      </w:r>
    </w:p>
  </w:footnote>
  <w:footnote w:type="continuationSeparator" w:id="0">
    <w:p w14:paraId="5E773DDC" w14:textId="77777777" w:rsidR="00AC7AE4" w:rsidRDefault="00AC7AE4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C15"/>
    <w:multiLevelType w:val="hybridMultilevel"/>
    <w:tmpl w:val="58460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10BF"/>
    <w:rsid w:val="000375B8"/>
    <w:rsid w:val="00051251"/>
    <w:rsid w:val="0005551E"/>
    <w:rsid w:val="00062952"/>
    <w:rsid w:val="0006405F"/>
    <w:rsid w:val="000D5A2C"/>
    <w:rsid w:val="000E1C46"/>
    <w:rsid w:val="000E2D83"/>
    <w:rsid w:val="000F6B21"/>
    <w:rsid w:val="00143F27"/>
    <w:rsid w:val="00155125"/>
    <w:rsid w:val="00167950"/>
    <w:rsid w:val="00190AFB"/>
    <w:rsid w:val="002207AA"/>
    <w:rsid w:val="00223595"/>
    <w:rsid w:val="00227B1E"/>
    <w:rsid w:val="002668DF"/>
    <w:rsid w:val="0027145D"/>
    <w:rsid w:val="00274D53"/>
    <w:rsid w:val="00291698"/>
    <w:rsid w:val="002A6350"/>
    <w:rsid w:val="002B4BF6"/>
    <w:rsid w:val="002F2DAF"/>
    <w:rsid w:val="002F6083"/>
    <w:rsid w:val="00307735"/>
    <w:rsid w:val="0031177E"/>
    <w:rsid w:val="003238EA"/>
    <w:rsid w:val="003347F0"/>
    <w:rsid w:val="003D79AA"/>
    <w:rsid w:val="00406FF4"/>
    <w:rsid w:val="00480879"/>
    <w:rsid w:val="004829E4"/>
    <w:rsid w:val="004E636C"/>
    <w:rsid w:val="004F6547"/>
    <w:rsid w:val="00544584"/>
    <w:rsid w:val="005E06EF"/>
    <w:rsid w:val="005E2D87"/>
    <w:rsid w:val="005F5E28"/>
    <w:rsid w:val="00625A9B"/>
    <w:rsid w:val="00641AA0"/>
    <w:rsid w:val="00653DCC"/>
    <w:rsid w:val="00692B9F"/>
    <w:rsid w:val="006B139E"/>
    <w:rsid w:val="006C2807"/>
    <w:rsid w:val="00713937"/>
    <w:rsid w:val="0072245D"/>
    <w:rsid w:val="00732072"/>
    <w:rsid w:val="0073236D"/>
    <w:rsid w:val="00793593"/>
    <w:rsid w:val="007A73B4"/>
    <w:rsid w:val="007C0B3F"/>
    <w:rsid w:val="007C3E67"/>
    <w:rsid w:val="007C7AAA"/>
    <w:rsid w:val="00846B0C"/>
    <w:rsid w:val="0085097A"/>
    <w:rsid w:val="00851C0B"/>
    <w:rsid w:val="008631A7"/>
    <w:rsid w:val="008929EC"/>
    <w:rsid w:val="008C4A46"/>
    <w:rsid w:val="00944673"/>
    <w:rsid w:val="00944E86"/>
    <w:rsid w:val="00977AFA"/>
    <w:rsid w:val="009B51FA"/>
    <w:rsid w:val="009C5B56"/>
    <w:rsid w:val="009C7253"/>
    <w:rsid w:val="00A26586"/>
    <w:rsid w:val="00A30BC9"/>
    <w:rsid w:val="00A3144F"/>
    <w:rsid w:val="00A65EE6"/>
    <w:rsid w:val="00A67B2F"/>
    <w:rsid w:val="00AC7AE4"/>
    <w:rsid w:val="00AD228F"/>
    <w:rsid w:val="00AE65FD"/>
    <w:rsid w:val="00AE66A8"/>
    <w:rsid w:val="00B01E92"/>
    <w:rsid w:val="00B21497"/>
    <w:rsid w:val="00B24285"/>
    <w:rsid w:val="00B25322"/>
    <w:rsid w:val="00B52134"/>
    <w:rsid w:val="00B640B7"/>
    <w:rsid w:val="00BB392E"/>
    <w:rsid w:val="00BB74D5"/>
    <w:rsid w:val="00BC1A9C"/>
    <w:rsid w:val="00BC63A7"/>
    <w:rsid w:val="00BE00E6"/>
    <w:rsid w:val="00C07DFE"/>
    <w:rsid w:val="00C23584"/>
    <w:rsid w:val="00C24037"/>
    <w:rsid w:val="00C24D60"/>
    <w:rsid w:val="00C25FA1"/>
    <w:rsid w:val="00C440EE"/>
    <w:rsid w:val="00C96C9A"/>
    <w:rsid w:val="00CA70A4"/>
    <w:rsid w:val="00CF0233"/>
    <w:rsid w:val="00D02A06"/>
    <w:rsid w:val="00D15FE5"/>
    <w:rsid w:val="00D534B4"/>
    <w:rsid w:val="00D55B56"/>
    <w:rsid w:val="00D81700"/>
    <w:rsid w:val="00DA0D00"/>
    <w:rsid w:val="00DA14B1"/>
    <w:rsid w:val="00DC59CC"/>
    <w:rsid w:val="00DD368F"/>
    <w:rsid w:val="00DD6577"/>
    <w:rsid w:val="00DE36A1"/>
    <w:rsid w:val="00E12E2F"/>
    <w:rsid w:val="00E4085F"/>
    <w:rsid w:val="00E75FCE"/>
    <w:rsid w:val="00E760E6"/>
    <w:rsid w:val="00E76E2C"/>
    <w:rsid w:val="00E84BBC"/>
    <w:rsid w:val="00ED1E57"/>
    <w:rsid w:val="00ED79E7"/>
    <w:rsid w:val="00F03FA4"/>
    <w:rsid w:val="00F41943"/>
    <w:rsid w:val="00F50D04"/>
    <w:rsid w:val="00F51BC5"/>
    <w:rsid w:val="00F81813"/>
    <w:rsid w:val="00F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B5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AE66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NRNormal">
    <w:name w:val="TNR Normal"/>
    <w:basedOn w:val="Normal"/>
    <w:qFormat/>
    <w:rsid w:val="00051251"/>
    <w:pPr>
      <w:spacing w:after="0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1pe.doe.virginia.gov/ssws/login.page.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stpractices.nokidhungry.org/Averaged-Eligibility-M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rac.org/research/resource-library/summer-food-mapp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8FA3-CCB0-4148-9BF7-C561998B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(Dir.) Memo #2020-2021-63, Establishing Summer Food Service Program Sites Using Census Data</vt:lpstr>
    </vt:vector>
  </TitlesOfParts>
  <Manager/>
  <Company/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#2020-2021-63, Establishing Summer Food Service Program Sites Using Census Data</dc:title>
  <dc:subject/>
  <dc:creator/>
  <cp:keywords/>
  <dc:description/>
  <cp:lastModifiedBy/>
  <cp:revision>1</cp:revision>
  <dcterms:created xsi:type="dcterms:W3CDTF">2021-06-17T13:31:00Z</dcterms:created>
  <dcterms:modified xsi:type="dcterms:W3CDTF">2021-06-17T13:31:00Z</dcterms:modified>
  <cp:category/>
</cp:coreProperties>
</file>