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7A1816" w:rsidRDefault="009F58C7" w:rsidP="000D4B28">
      <w:pPr>
        <w:jc w:val="center"/>
        <w:rPr>
          <w:rFonts w:ascii="Times New Roman" w:hAnsi="Times New Roman" w:cs="Times New Roman"/>
          <w:sz w:val="24"/>
          <w:szCs w:val="24"/>
        </w:rPr>
      </w:pPr>
      <w:r w:rsidRPr="007A1816">
        <w:rPr>
          <w:rFonts w:ascii="Times New Roman" w:hAnsi="Times New Roman" w:cs="Times New Roman"/>
          <w:sz w:val="24"/>
          <w:szCs w:val="24"/>
        </w:rPr>
        <w:t>Correlation to the 2017 English Standards of Learning and Curric</w:t>
      </w:r>
      <w:r w:rsidR="005338AA" w:rsidRPr="007A1816">
        <w:rPr>
          <w:rFonts w:ascii="Times New Roman" w:hAnsi="Times New Roman" w:cs="Times New Roman"/>
          <w:sz w:val="24"/>
          <w:szCs w:val="24"/>
        </w:rPr>
        <w:t xml:space="preserve">ulum Framework – Grade </w:t>
      </w:r>
      <w:r w:rsidR="00F455EE" w:rsidRPr="007A1816">
        <w:rPr>
          <w:rFonts w:ascii="Times New Roman" w:hAnsi="Times New Roman" w:cs="Times New Roman"/>
          <w:sz w:val="24"/>
          <w:szCs w:val="24"/>
        </w:rPr>
        <w:t>7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7A1816" w:rsidRDefault="001400C0" w:rsidP="007C3880">
      <w:pPr>
        <w:rPr>
          <w:rFonts w:ascii="Times New Roman" w:hAnsi="Times New Roman" w:cs="Times New Roman"/>
          <w:sz w:val="24"/>
          <w:szCs w:val="24"/>
        </w:rPr>
      </w:pPr>
      <w:r w:rsidRPr="007A1816">
        <w:rPr>
          <w:rFonts w:ascii="Times New Roman" w:hAnsi="Times New Roman" w:cs="Times New Roman"/>
          <w:sz w:val="24"/>
          <w:szCs w:val="24"/>
        </w:rPr>
        <w:t>Directions:  Please complete the requested information below.</w:t>
      </w:r>
    </w:p>
    <w:p w:rsidR="009F58C7" w:rsidRPr="007A1816" w:rsidRDefault="00995CE2" w:rsidP="0043663D">
      <w:pPr>
        <w:pStyle w:val="Header"/>
        <w:rPr>
          <w:rFonts w:ascii="Times New Roman" w:hAnsi="Times New Roman" w:cs="Times New Roman"/>
          <w:b/>
          <w:sz w:val="24"/>
          <w:szCs w:val="24"/>
        </w:rPr>
      </w:pPr>
      <w:r w:rsidRPr="007A1816">
        <w:rPr>
          <w:rFonts w:ascii="Times New Roman" w:hAnsi="Times New Roman" w:cs="Times New Roman"/>
          <w:b/>
          <w:sz w:val="24"/>
          <w:szCs w:val="24"/>
        </w:rPr>
        <w:t>Text Title:</w:t>
      </w:r>
    </w:p>
    <w:p w:rsidR="009F58C7" w:rsidRPr="007A1816" w:rsidRDefault="009F58C7" w:rsidP="0043663D">
      <w:pPr>
        <w:pStyle w:val="Header"/>
        <w:rPr>
          <w:rFonts w:ascii="Times New Roman" w:hAnsi="Times New Roman" w:cs="Times New Roman"/>
          <w:b/>
          <w:sz w:val="24"/>
          <w:szCs w:val="24"/>
        </w:rPr>
      </w:pPr>
      <w:r w:rsidRPr="007A1816">
        <w:rPr>
          <w:rFonts w:ascii="Times New Roman" w:hAnsi="Times New Roman" w:cs="Times New Roman"/>
          <w:b/>
          <w:sz w:val="24"/>
          <w:szCs w:val="24"/>
        </w:rPr>
        <w:t xml:space="preserve">Publisher: </w:t>
      </w:r>
    </w:p>
    <w:p w:rsidR="009F58C7" w:rsidRPr="007A1816" w:rsidRDefault="009F58C7" w:rsidP="0043663D">
      <w:pPr>
        <w:pStyle w:val="Header"/>
        <w:rPr>
          <w:rFonts w:ascii="Times New Roman" w:hAnsi="Times New Roman" w:cs="Times New Roman"/>
          <w:b/>
          <w:sz w:val="24"/>
          <w:szCs w:val="24"/>
          <w:lang w:val="fr-FR"/>
        </w:rPr>
      </w:pPr>
      <w:r w:rsidRPr="007A1816">
        <w:rPr>
          <w:rFonts w:ascii="Times New Roman" w:hAnsi="Times New Roman" w:cs="Times New Roman"/>
          <w:b/>
          <w:sz w:val="24"/>
          <w:szCs w:val="24"/>
          <w:lang w:val="fr-FR"/>
        </w:rPr>
        <w:t>Contact:</w:t>
      </w:r>
      <w:r w:rsidR="00F33625" w:rsidRPr="007A1816">
        <w:rPr>
          <w:rFonts w:ascii="Times New Roman" w:hAnsi="Times New Roman" w:cs="Times New Roman"/>
          <w:b/>
          <w:sz w:val="24"/>
          <w:szCs w:val="24"/>
          <w:lang w:val="fr-FR"/>
        </w:rPr>
        <w:t xml:space="preserve"> </w:t>
      </w:r>
    </w:p>
    <w:p w:rsidR="009F58C7" w:rsidRPr="007A1816" w:rsidRDefault="00F33625" w:rsidP="0043663D">
      <w:pPr>
        <w:pStyle w:val="Header"/>
        <w:rPr>
          <w:rFonts w:ascii="Times New Roman" w:hAnsi="Times New Roman" w:cs="Times New Roman"/>
          <w:b/>
          <w:sz w:val="24"/>
          <w:szCs w:val="24"/>
          <w:lang w:val="fr-FR"/>
        </w:rPr>
      </w:pPr>
      <w:r w:rsidRPr="007A1816">
        <w:rPr>
          <w:rFonts w:ascii="Times New Roman" w:hAnsi="Times New Roman" w:cs="Times New Roman"/>
          <w:b/>
          <w:sz w:val="24"/>
          <w:szCs w:val="24"/>
          <w:lang w:val="fr-FR"/>
        </w:rPr>
        <w:t xml:space="preserve">Email: </w:t>
      </w:r>
      <w:r w:rsidR="009F58C7" w:rsidRPr="007A1816">
        <w:rPr>
          <w:rFonts w:ascii="Times New Roman" w:hAnsi="Times New Roman" w:cs="Times New Roman"/>
          <w:b/>
          <w:sz w:val="24"/>
          <w:szCs w:val="24"/>
          <w:lang w:val="fr-FR"/>
        </w:rPr>
        <w:t xml:space="preserve"> </w:t>
      </w:r>
    </w:p>
    <w:p w:rsidR="000E7FAA" w:rsidRPr="007A1816" w:rsidRDefault="009F58C7" w:rsidP="0043663D">
      <w:pPr>
        <w:pStyle w:val="Header"/>
        <w:rPr>
          <w:rFonts w:ascii="Times New Roman" w:hAnsi="Times New Roman" w:cs="Times New Roman"/>
          <w:b/>
          <w:sz w:val="24"/>
          <w:szCs w:val="24"/>
          <w:lang w:val="fr-FR"/>
        </w:rPr>
      </w:pPr>
      <w:r w:rsidRPr="007A1816">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7A1816" w:rsidRDefault="008F5E27" w:rsidP="00394925">
      <w:pPr>
        <w:rPr>
          <w:rFonts w:ascii="Times New Roman" w:hAnsi="Times New Roman" w:cs="Times New Roman"/>
          <w:sz w:val="24"/>
          <w:szCs w:val="24"/>
        </w:rPr>
      </w:pPr>
      <w:r w:rsidRPr="007A1816">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SOL 7.4</w:t>
      </w:r>
    </w:p>
    <w:tbl>
      <w:tblPr>
        <w:tblStyle w:val="TableGrid"/>
        <w:tblW w:w="0" w:type="auto"/>
        <w:tblLook w:val="0020" w:firstRow="1" w:lastRow="0" w:firstColumn="0" w:lastColumn="0" w:noHBand="0" w:noVBand="0"/>
        <w:tblDescription w:val="SOL 7.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7A1816" w:rsidRDefault="0043663D" w:rsidP="00243FC7">
            <w:pPr>
              <w:pStyle w:val="Subtitle"/>
              <w:jc w:val="left"/>
              <w:rPr>
                <w:u w:val="none"/>
              </w:rPr>
            </w:pPr>
            <w:r w:rsidRPr="007A1816">
              <w:rPr>
                <w:u w:val="none"/>
              </w:rPr>
              <w:t>STANDARD</w:t>
            </w:r>
            <w:r w:rsidR="00F455EE" w:rsidRPr="007A1816">
              <w:rPr>
                <w:u w:val="none"/>
              </w:rPr>
              <w:t xml:space="preserve"> 7.4</w:t>
            </w:r>
          </w:p>
        </w:tc>
        <w:tc>
          <w:tcPr>
            <w:tcW w:w="6588" w:type="dxa"/>
          </w:tcPr>
          <w:p w:rsidR="0043663D" w:rsidRPr="007A1816" w:rsidRDefault="0043663D" w:rsidP="00243FC7">
            <w:pPr>
              <w:pStyle w:val="Subtitle"/>
              <w:jc w:val="left"/>
              <w:rPr>
                <w:u w:val="none"/>
              </w:rPr>
            </w:pPr>
            <w:r w:rsidRPr="007A1816">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7A1816" w:rsidRDefault="00F455EE" w:rsidP="00243FC7">
            <w:pPr>
              <w:rPr>
                <w:rFonts w:ascii="Times New Roman" w:hAnsi="Times New Roman" w:cs="Times New Roman"/>
                <w:sz w:val="24"/>
                <w:szCs w:val="24"/>
              </w:rPr>
            </w:pPr>
            <w:r w:rsidRPr="007A1816">
              <w:rPr>
                <w:rFonts w:ascii="Times New Roman" w:hAnsi="Times New Roman" w:cs="Times New Roman"/>
                <w:sz w:val="24"/>
                <w:szCs w:val="24"/>
              </w:rPr>
              <w:t>7.4 The student will read and determine the meanings of unfamiliar words and phrases within authentic texts.</w:t>
            </w:r>
          </w:p>
        </w:tc>
        <w:tc>
          <w:tcPr>
            <w:tcW w:w="6588" w:type="dxa"/>
          </w:tcPr>
          <w:p w:rsidR="0043663D" w:rsidRPr="007A1816"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A1816" w:rsidRDefault="00F455EE" w:rsidP="00243FC7">
            <w:pPr>
              <w:ind w:left="360"/>
              <w:rPr>
                <w:rFonts w:ascii="Times New Roman" w:hAnsi="Times New Roman" w:cs="Times New Roman"/>
                <w:sz w:val="24"/>
                <w:szCs w:val="24"/>
              </w:rPr>
            </w:pPr>
            <w:r w:rsidRPr="007A1816">
              <w:rPr>
                <w:rFonts w:ascii="Times New Roman" w:hAnsi="Times New Roman" w:cs="Times New Roman"/>
                <w:sz w:val="24"/>
                <w:szCs w:val="24"/>
              </w:rPr>
              <w:lastRenderedPageBreak/>
              <w:t>a)</w:t>
            </w:r>
            <w:r w:rsidRPr="007A1816">
              <w:rPr>
                <w:rFonts w:ascii="Times New Roman" w:hAnsi="Times New Roman" w:cs="Times New Roman"/>
                <w:sz w:val="24"/>
                <w:szCs w:val="24"/>
              </w:rPr>
              <w:tab/>
              <w:t>Identify word origins and derivations.</w:t>
            </w:r>
          </w:p>
        </w:tc>
        <w:tc>
          <w:tcPr>
            <w:tcW w:w="6588" w:type="dxa"/>
          </w:tcPr>
          <w:p w:rsidR="0043663D" w:rsidRPr="007A1816"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Use roots, affixes, synonyms, and antonyms to expand vocabulary.</w:t>
            </w:r>
          </w:p>
        </w:tc>
        <w:tc>
          <w:tcPr>
            <w:tcW w:w="6588" w:type="dxa"/>
          </w:tcPr>
          <w:p w:rsidR="0043663D" w:rsidRPr="007A1816"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and analyze the construction and impact of figurative language.</w:t>
            </w:r>
          </w:p>
        </w:tc>
        <w:tc>
          <w:tcPr>
            <w:tcW w:w="6588" w:type="dxa"/>
          </w:tcPr>
          <w:p w:rsidR="0043663D" w:rsidRPr="007A1816"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Identify connotations.</w:t>
            </w:r>
          </w:p>
        </w:tc>
        <w:tc>
          <w:tcPr>
            <w:tcW w:w="6588" w:type="dxa"/>
          </w:tcPr>
          <w:p w:rsidR="0043663D" w:rsidRPr="007A1816"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A1816" w:rsidRDefault="00F455EE" w:rsidP="005338AA">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Use context and sentence structure to determine meanings and differentiate among multiple meanings of words.</w:t>
            </w:r>
          </w:p>
        </w:tc>
        <w:tc>
          <w:tcPr>
            <w:tcW w:w="6588" w:type="dxa"/>
          </w:tcPr>
          <w:p w:rsidR="0043663D" w:rsidRPr="007A1816"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Use word-reference materials to determine meanings and etymology.</w:t>
            </w:r>
          </w:p>
        </w:tc>
        <w:tc>
          <w:tcPr>
            <w:tcW w:w="6588" w:type="dxa"/>
          </w:tcPr>
          <w:p w:rsidR="0043663D" w:rsidRPr="007A1816" w:rsidRDefault="0043663D" w:rsidP="00243FC7">
            <w:pPr>
              <w:pStyle w:val="Subtitle"/>
              <w:jc w:val="left"/>
              <w:rPr>
                <w:b w:val="0"/>
                <w:bCs w:val="0"/>
                <w:u w:val="none"/>
              </w:rPr>
            </w:pPr>
          </w:p>
        </w:tc>
      </w:tr>
      <w:tr w:rsidR="005338AA" w:rsidRPr="00FD73E4" w:rsidTr="00074837">
        <w:trPr>
          <w:trHeight w:val="1152"/>
        </w:trPr>
        <w:tc>
          <w:tcPr>
            <w:tcW w:w="6588" w:type="dxa"/>
          </w:tcPr>
          <w:p w:rsidR="005338AA" w:rsidRPr="007A1816" w:rsidRDefault="00F455EE" w:rsidP="00243FC7">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g)</w:t>
            </w:r>
            <w:r w:rsidRPr="007A1816">
              <w:rPr>
                <w:rFonts w:ascii="Times New Roman" w:hAnsi="Times New Roman" w:cs="Times New Roman"/>
                <w:sz w:val="24"/>
                <w:szCs w:val="24"/>
              </w:rPr>
              <w:tab/>
              <w:t>Extend general and cross-curricular vocabulary through speaking, listening, reading, and writing.</w:t>
            </w:r>
          </w:p>
        </w:tc>
        <w:tc>
          <w:tcPr>
            <w:tcW w:w="6588" w:type="dxa"/>
          </w:tcPr>
          <w:p w:rsidR="005338AA" w:rsidRPr="007A1816" w:rsidRDefault="005338AA"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F455EE">
        <w:t>7.5</w:t>
      </w:r>
    </w:p>
    <w:tbl>
      <w:tblPr>
        <w:tblStyle w:val="TableGrid"/>
        <w:tblW w:w="0" w:type="auto"/>
        <w:tblLook w:val="0020" w:firstRow="1" w:lastRow="0" w:firstColumn="0" w:lastColumn="0" w:noHBand="0" w:noVBand="0"/>
        <w:tblDescription w:val="SOL 7.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7A1816" w:rsidRDefault="00042417" w:rsidP="00F455EE">
            <w:pPr>
              <w:pStyle w:val="Subtitle"/>
              <w:jc w:val="left"/>
              <w:rPr>
                <w:u w:val="none"/>
              </w:rPr>
            </w:pPr>
            <w:r w:rsidRPr="007A1816">
              <w:rPr>
                <w:u w:val="none"/>
              </w:rPr>
              <w:t>STANDARD</w:t>
            </w:r>
            <w:r w:rsidR="005338AA" w:rsidRPr="007A1816">
              <w:rPr>
                <w:u w:val="none"/>
              </w:rPr>
              <w:t xml:space="preserve"> </w:t>
            </w:r>
            <w:r w:rsidR="00F455EE" w:rsidRPr="007A1816">
              <w:rPr>
                <w:u w:val="none"/>
              </w:rPr>
              <w:t>7.5</w:t>
            </w:r>
          </w:p>
        </w:tc>
        <w:tc>
          <w:tcPr>
            <w:tcW w:w="6588" w:type="dxa"/>
          </w:tcPr>
          <w:p w:rsidR="00042417" w:rsidRPr="007A1816" w:rsidRDefault="000E7FAA" w:rsidP="000E7FAA">
            <w:pPr>
              <w:pStyle w:val="Subtitle"/>
              <w:jc w:val="left"/>
              <w:rPr>
                <w:u w:val="none"/>
              </w:rPr>
            </w:pPr>
            <w:r w:rsidRPr="007A1816">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7A1816" w:rsidRDefault="00F455EE" w:rsidP="004A02BB">
            <w:pPr>
              <w:rPr>
                <w:rFonts w:ascii="Times New Roman" w:hAnsi="Times New Roman" w:cs="Times New Roman"/>
                <w:sz w:val="24"/>
                <w:szCs w:val="24"/>
              </w:rPr>
            </w:pPr>
            <w:r w:rsidRPr="007A1816">
              <w:rPr>
                <w:rFonts w:ascii="Times New Roman" w:hAnsi="Times New Roman" w:cs="Times New Roman"/>
                <w:sz w:val="24"/>
                <w:szCs w:val="24"/>
              </w:rPr>
              <w:t>7.5 The student will read and demonstrate comprehension of a variety of fictional texts, literary nonfiction, poetry, and drama.</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F15AF1">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Describe the elements of narrative structure including setting, character development, plot, theme, and conflict and how they influence each other.</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pStyle w:val="SOLBullet"/>
              <w:ind w:left="720" w:hanging="360"/>
              <w:rPr>
                <w:sz w:val="24"/>
                <w:szCs w:val="24"/>
              </w:rPr>
            </w:pPr>
            <w:r w:rsidRPr="007A1816">
              <w:rPr>
                <w:sz w:val="24"/>
                <w:szCs w:val="24"/>
              </w:rPr>
              <w:t>b)</w:t>
            </w:r>
            <w:r w:rsidRPr="007A1816">
              <w:rPr>
                <w:sz w:val="24"/>
                <w:szCs w:val="24"/>
              </w:rPr>
              <w:tab/>
              <w:t>Identify and explain the theme(s).</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cause and effect relationships and their impact on plot.</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ind w:left="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first and third person point-of-view.</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elements and characteristics of a variety of genres.</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tabs>
                <w:tab w:val="left" w:pos="720"/>
              </w:tabs>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f)</w:t>
            </w:r>
            <w:r w:rsidRPr="007A1816">
              <w:rPr>
                <w:rFonts w:ascii="Times New Roman" w:hAnsi="Times New Roman" w:cs="Times New Roman"/>
                <w:sz w:val="24"/>
                <w:szCs w:val="24"/>
              </w:rPr>
              <w:tab/>
              <w:t>Compare and contrast various forms and genres of fictional text.</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F455EE">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Describe the impact of word choice, imagery, and literary devices including figurative language in an author’s style.</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255"/>
        </w:trPr>
        <w:tc>
          <w:tcPr>
            <w:tcW w:w="6588" w:type="dxa"/>
          </w:tcPr>
          <w:p w:rsidR="00042417" w:rsidRPr="007A1816" w:rsidRDefault="00F455EE" w:rsidP="00F455EE">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Compare/contrast details in literary and informational nonfiction texts.</w:t>
            </w:r>
          </w:p>
        </w:tc>
        <w:tc>
          <w:tcPr>
            <w:tcW w:w="6588" w:type="dxa"/>
          </w:tcPr>
          <w:p w:rsidR="00042417" w:rsidRPr="007A1816" w:rsidRDefault="00042417" w:rsidP="007930FA">
            <w:pPr>
              <w:pStyle w:val="Subtitle"/>
              <w:jc w:val="left"/>
              <w:rPr>
                <w:b w:val="0"/>
                <w:bCs w:val="0"/>
                <w:u w:val="none"/>
              </w:rPr>
            </w:pPr>
          </w:p>
        </w:tc>
      </w:tr>
      <w:tr w:rsidR="00F455EE" w:rsidRPr="00FD73E4" w:rsidTr="00074837">
        <w:trPr>
          <w:trHeight w:val="1255"/>
        </w:trPr>
        <w:tc>
          <w:tcPr>
            <w:tcW w:w="6588" w:type="dxa"/>
          </w:tcPr>
          <w:p w:rsidR="00F455EE" w:rsidRPr="007A1816" w:rsidRDefault="00F455EE" w:rsidP="004A02BB">
            <w:pPr>
              <w:ind w:left="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Make inferences and draw conclusions based on the text.</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255"/>
        </w:trPr>
        <w:tc>
          <w:tcPr>
            <w:tcW w:w="6588" w:type="dxa"/>
          </w:tcPr>
          <w:p w:rsidR="00F455EE" w:rsidRPr="007A1816" w:rsidRDefault="00F455EE" w:rsidP="00F455EE">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Use reading strategies to monitor comprehension throughout the reading process.</w:t>
            </w:r>
          </w:p>
        </w:tc>
        <w:tc>
          <w:tcPr>
            <w:tcW w:w="6588" w:type="dxa"/>
          </w:tcPr>
          <w:p w:rsidR="00F455EE" w:rsidRPr="007A1816" w:rsidRDefault="00F455EE" w:rsidP="007930FA">
            <w:pPr>
              <w:pStyle w:val="Subtitle"/>
              <w:jc w:val="left"/>
              <w:rPr>
                <w:b w:val="0"/>
                <w:bCs w:val="0"/>
                <w:u w:val="none"/>
              </w:rPr>
            </w:pP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1E1794" w:rsidRPr="001E1794" w:rsidRDefault="00F455EE" w:rsidP="001E1794">
      <w:pPr>
        <w:pStyle w:val="Heading3"/>
      </w:pPr>
      <w:r>
        <w:lastRenderedPageBreak/>
        <w:t>SOL 7.6</w:t>
      </w:r>
    </w:p>
    <w:tbl>
      <w:tblPr>
        <w:tblStyle w:val="TableGrid"/>
        <w:tblW w:w="0" w:type="auto"/>
        <w:tblLook w:val="0020" w:firstRow="1" w:lastRow="0" w:firstColumn="0" w:lastColumn="0" w:noHBand="0" w:noVBand="0"/>
        <w:tblDescription w:val="SOL 7.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7A1816" w:rsidRDefault="00042417" w:rsidP="007930FA">
            <w:pPr>
              <w:pStyle w:val="Subtitle"/>
              <w:jc w:val="left"/>
              <w:rPr>
                <w:u w:val="none"/>
              </w:rPr>
            </w:pPr>
            <w:r w:rsidRPr="007A1816">
              <w:rPr>
                <w:u w:val="none"/>
              </w:rPr>
              <w:t>STANDARD</w:t>
            </w:r>
            <w:r w:rsidR="00F455EE" w:rsidRPr="007A1816">
              <w:rPr>
                <w:u w:val="none"/>
              </w:rPr>
              <w:t xml:space="preserve"> 7.6</w:t>
            </w:r>
          </w:p>
        </w:tc>
        <w:tc>
          <w:tcPr>
            <w:tcW w:w="6588" w:type="dxa"/>
          </w:tcPr>
          <w:p w:rsidR="00042417" w:rsidRPr="007A1816" w:rsidRDefault="000E7FAA" w:rsidP="000E7FAA">
            <w:pPr>
              <w:pStyle w:val="Subtitle"/>
              <w:jc w:val="left"/>
              <w:rPr>
                <w:u w:val="none"/>
              </w:rPr>
            </w:pPr>
            <w:r w:rsidRPr="007A1816">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7A1816" w:rsidRDefault="00F455EE" w:rsidP="004A02BB">
            <w:pPr>
              <w:rPr>
                <w:rFonts w:ascii="Times New Roman" w:hAnsi="Times New Roman" w:cs="Times New Roman"/>
                <w:sz w:val="24"/>
                <w:szCs w:val="24"/>
              </w:rPr>
            </w:pPr>
            <w:r w:rsidRPr="007A1816">
              <w:rPr>
                <w:rFonts w:ascii="Times New Roman" w:hAnsi="Times New Roman" w:cs="Times New Roman"/>
                <w:sz w:val="24"/>
                <w:szCs w:val="24"/>
              </w:rPr>
              <w:t>7.6 The student will read and demonstrate comprehension of a variety of nonfiction texts.</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Skim materials using text features including type, headings, and graphics to predict and categorize information.</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F455EE">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 xml:space="preserve">Identify an author’s organizational pattern using textual clues, such as transitional words and phrases.  </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F455EE">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Make inferences and draw logical conclusions using explicit and implied textual evidence.</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fact and opinion.</w:t>
            </w:r>
            <w:r w:rsidRPr="007A1816">
              <w:rPr>
                <w:rFonts w:ascii="Times New Roman" w:hAnsi="Times New Roman" w:cs="Times New Roman"/>
                <w:sz w:val="24"/>
                <w:szCs w:val="24"/>
              </w:rPr>
              <w:tab/>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the source, viewpoint, and purpose of texts.</w:t>
            </w:r>
          </w:p>
        </w:tc>
        <w:tc>
          <w:tcPr>
            <w:tcW w:w="6588" w:type="dxa"/>
          </w:tcPr>
          <w:p w:rsidR="00042417" w:rsidRPr="007A1816" w:rsidRDefault="00042417" w:rsidP="007930FA">
            <w:pPr>
              <w:pStyle w:val="Subtitle"/>
              <w:jc w:val="left"/>
              <w:rPr>
                <w:b w:val="0"/>
                <w:bCs w:val="0"/>
                <w:u w:val="none"/>
              </w:rPr>
            </w:pPr>
          </w:p>
        </w:tc>
      </w:tr>
      <w:tr w:rsidR="00042417"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f)</w:t>
            </w:r>
            <w:r w:rsidRPr="007A1816">
              <w:rPr>
                <w:rFonts w:ascii="Times New Roman" w:hAnsi="Times New Roman" w:cs="Times New Roman"/>
                <w:sz w:val="24"/>
                <w:szCs w:val="24"/>
              </w:rPr>
              <w:tab/>
              <w:t>Describe how word choice and language structure convey an author’s viewpoint.</w:t>
            </w:r>
          </w:p>
          <w:p w:rsidR="00042417" w:rsidRPr="007A1816" w:rsidRDefault="00F455EE" w:rsidP="00F455EE">
            <w:pPr>
              <w:tabs>
                <w:tab w:val="left" w:pos="1485"/>
              </w:tabs>
              <w:rPr>
                <w:rFonts w:ascii="Times New Roman" w:hAnsi="Times New Roman" w:cs="Times New Roman"/>
                <w:sz w:val="24"/>
                <w:szCs w:val="24"/>
              </w:rPr>
            </w:pPr>
            <w:r w:rsidRPr="007A1816">
              <w:rPr>
                <w:rFonts w:ascii="Times New Roman" w:hAnsi="Times New Roman" w:cs="Times New Roman"/>
                <w:sz w:val="24"/>
                <w:szCs w:val="24"/>
              </w:rPr>
              <w:tab/>
            </w:r>
          </w:p>
        </w:tc>
        <w:tc>
          <w:tcPr>
            <w:tcW w:w="6588" w:type="dxa"/>
          </w:tcPr>
          <w:p w:rsidR="00042417" w:rsidRPr="007A1816" w:rsidRDefault="00042417"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Identify the main idea.</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Summarize text identifying supporting details.</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Create an objective summary including main idea and supporting details.</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Identify cause and effect relationships.</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k)</w:t>
            </w:r>
            <w:r w:rsidRPr="007A1816">
              <w:rPr>
                <w:rFonts w:ascii="Times New Roman" w:hAnsi="Times New Roman" w:cs="Times New Roman"/>
                <w:sz w:val="24"/>
                <w:szCs w:val="24"/>
              </w:rPr>
              <w:tab/>
              <w:t>Organize and synthesize information for use in written and other formats.</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l)</w:t>
            </w:r>
            <w:r w:rsidRPr="007A1816">
              <w:rPr>
                <w:rFonts w:ascii="Times New Roman" w:hAnsi="Times New Roman" w:cs="Times New Roman"/>
                <w:sz w:val="24"/>
                <w:szCs w:val="24"/>
              </w:rPr>
              <w:tab/>
              <w:t>Analyze ideas within and between selections providing textual evidence.</w:t>
            </w:r>
          </w:p>
        </w:tc>
        <w:tc>
          <w:tcPr>
            <w:tcW w:w="6588" w:type="dxa"/>
          </w:tcPr>
          <w:p w:rsidR="00F455EE" w:rsidRPr="007A1816" w:rsidRDefault="00F455EE" w:rsidP="007930FA">
            <w:pPr>
              <w:pStyle w:val="Subtitle"/>
              <w:jc w:val="left"/>
              <w:rPr>
                <w:b w:val="0"/>
                <w:bCs w:val="0"/>
                <w:u w:val="none"/>
              </w:rPr>
            </w:pPr>
          </w:p>
        </w:tc>
      </w:tr>
      <w:tr w:rsidR="00F455EE" w:rsidRPr="00FD73E4" w:rsidTr="00074837">
        <w:trPr>
          <w:trHeight w:val="1152"/>
        </w:trPr>
        <w:tc>
          <w:tcPr>
            <w:tcW w:w="6588"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m)</w:t>
            </w:r>
            <w:r w:rsidRPr="007A1816">
              <w:rPr>
                <w:rFonts w:ascii="Times New Roman" w:hAnsi="Times New Roman" w:cs="Times New Roman"/>
                <w:sz w:val="24"/>
                <w:szCs w:val="24"/>
              </w:rPr>
              <w:tab/>
              <w:t>Use reading strategies to monitor comprehension throughout the reading process.</w:t>
            </w:r>
          </w:p>
        </w:tc>
        <w:tc>
          <w:tcPr>
            <w:tcW w:w="6588" w:type="dxa"/>
          </w:tcPr>
          <w:p w:rsidR="00F455EE" w:rsidRPr="007A1816" w:rsidRDefault="00F455EE" w:rsidP="007930FA">
            <w:pPr>
              <w:pStyle w:val="Subtitle"/>
              <w:jc w:val="left"/>
              <w:rPr>
                <w:b w:val="0"/>
                <w:bCs w:val="0"/>
                <w:u w:val="none"/>
              </w:rPr>
            </w:pPr>
          </w:p>
        </w:tc>
      </w:tr>
    </w:tbl>
    <w:p w:rsidR="00042417" w:rsidRPr="00FD73E4" w:rsidRDefault="00042417" w:rsidP="00042417">
      <w:pPr>
        <w:rPr>
          <w:rFonts w:ascii="Times New Roman" w:hAnsi="Times New Roman" w:cs="Times New Roman"/>
        </w:rPr>
      </w:pPr>
    </w:p>
    <w:p w:rsidR="00042417" w:rsidRDefault="00042417">
      <w:pPr>
        <w:rPr>
          <w:rFonts w:ascii="Times New Roman" w:hAnsi="Times New Roman" w:cs="Times New Roman"/>
        </w:rPr>
      </w:pPr>
    </w:p>
    <w:p w:rsidR="005338AA" w:rsidRDefault="005338AA">
      <w:pPr>
        <w:rPr>
          <w:rFonts w:ascii="Times New Roman" w:hAnsi="Times New Roman" w:cs="Times New Roman"/>
        </w:rPr>
      </w:pPr>
    </w:p>
    <w:p w:rsidR="005338AA" w:rsidRPr="00FD73E4" w:rsidRDefault="005338AA">
      <w:pPr>
        <w:rPr>
          <w:rFonts w:ascii="Times New Roman" w:hAnsi="Times New Roman" w:cs="Times New Roman"/>
        </w:rPr>
      </w:pPr>
    </w:p>
    <w:p w:rsidR="00774C13" w:rsidRDefault="00752615" w:rsidP="00695C19">
      <w:pPr>
        <w:pStyle w:val="Heading2"/>
      </w:pPr>
      <w:r>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7A1816" w:rsidRDefault="008F5E27" w:rsidP="008F5E27">
      <w:pPr>
        <w:rPr>
          <w:rFonts w:ascii="Times New Roman" w:hAnsi="Times New Roman" w:cs="Times New Roman"/>
          <w:sz w:val="24"/>
          <w:szCs w:val="24"/>
        </w:rPr>
      </w:pPr>
      <w:r w:rsidRPr="007A1816">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7A1816" w:rsidRDefault="00774C13" w:rsidP="00695C19">
            <w:pPr>
              <w:rPr>
                <w:rFonts w:ascii="Times New Roman" w:eastAsia="Times New Roman" w:hAnsi="Times New Roman" w:cs="Times New Roman"/>
                <w:b/>
                <w:sz w:val="24"/>
                <w:szCs w:val="24"/>
              </w:rPr>
            </w:pPr>
            <w:r w:rsidRPr="007A1816">
              <w:rPr>
                <w:rFonts w:ascii="Times New Roman" w:eastAsia="Times New Roman" w:hAnsi="Times New Roman" w:cs="Times New Roman"/>
                <w:b/>
                <w:bCs/>
                <w:i/>
                <w:iCs/>
                <w:sz w:val="24"/>
                <w:szCs w:val="24"/>
              </w:rPr>
              <w:br w:type="page"/>
            </w:r>
            <w:r w:rsidRPr="007A1816">
              <w:rPr>
                <w:rFonts w:ascii="Times New Roman" w:eastAsia="Times New Roman" w:hAnsi="Times New Roman" w:cs="Times New Roman"/>
                <w:b/>
                <w:bCs/>
                <w:i/>
                <w:iCs/>
                <w:sz w:val="24"/>
                <w:szCs w:val="24"/>
              </w:rPr>
              <w:br w:type="page"/>
            </w:r>
            <w:r w:rsidRPr="007A1816">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7A1816" w:rsidRDefault="00774C13" w:rsidP="003934A8">
            <w:pPr>
              <w:rPr>
                <w:rFonts w:ascii="Times New Roman" w:eastAsia="Times New Roman" w:hAnsi="Times New Roman" w:cs="Times New Roman"/>
                <w:b/>
                <w:sz w:val="24"/>
                <w:szCs w:val="24"/>
              </w:rPr>
            </w:pPr>
            <w:r w:rsidRPr="007A1816">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7A1816" w:rsidRDefault="00774C13" w:rsidP="003934A8">
            <w:pPr>
              <w:rPr>
                <w:rFonts w:ascii="Times New Roman" w:eastAsia="Times New Roman" w:hAnsi="Times New Roman" w:cs="Times New Roman"/>
                <w:sz w:val="24"/>
                <w:szCs w:val="24"/>
              </w:rPr>
            </w:pPr>
            <w:r w:rsidRPr="007A1816">
              <w:rPr>
                <w:rFonts w:ascii="Times New Roman" w:eastAsia="Times New Roman" w:hAnsi="Times New Roman" w:cs="Times New Roman"/>
                <w:sz w:val="24"/>
                <w:szCs w:val="24"/>
              </w:rPr>
              <w:lastRenderedPageBreak/>
              <w:t xml:space="preserve">1. </w:t>
            </w:r>
            <w:r w:rsidRPr="007A1816">
              <w:rPr>
                <w:rFonts w:ascii="Times New Roman" w:eastAsia="Times New Roman" w:hAnsi="Times New Roman" w:cs="Times New Roman"/>
                <w:bCs/>
                <w:snapToGrid w:val="0"/>
                <w:sz w:val="24"/>
                <w:szCs w:val="24"/>
              </w:rPr>
              <w:t xml:space="preserve"> The </w:t>
            </w:r>
            <w:r w:rsidRPr="007A1816">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7A1816"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A1816" w:rsidRDefault="001400C0" w:rsidP="003934A8">
            <w:pPr>
              <w:rPr>
                <w:rFonts w:ascii="Times New Roman" w:eastAsia="Times New Roman" w:hAnsi="Times New Roman" w:cs="Times New Roman"/>
                <w:bCs/>
                <w:sz w:val="24"/>
                <w:szCs w:val="24"/>
              </w:rPr>
            </w:pPr>
            <w:r w:rsidRPr="007A1816">
              <w:rPr>
                <w:rFonts w:ascii="Times New Roman" w:eastAsia="Times New Roman" w:hAnsi="Times New Roman" w:cs="Times New Roman"/>
                <w:bCs/>
                <w:sz w:val="24"/>
                <w:szCs w:val="24"/>
              </w:rPr>
              <w:t>2. The</w:t>
            </w:r>
            <w:r w:rsidR="00774C13" w:rsidRPr="007A1816">
              <w:rPr>
                <w:rFonts w:ascii="Times New Roman" w:eastAsia="Times New Roman" w:hAnsi="Times New Roman" w:cs="Times New Roman"/>
                <w:bCs/>
                <w:sz w:val="24"/>
                <w:szCs w:val="24"/>
              </w:rPr>
              <w:t xml:space="preserve"> textbook is organized appropriately within and among units of study.</w:t>
            </w:r>
          </w:p>
          <w:p w:rsidR="00774C13" w:rsidRPr="007A1816" w:rsidRDefault="00774C13" w:rsidP="003934A8">
            <w:pPr>
              <w:rPr>
                <w:rFonts w:ascii="Times New Roman" w:eastAsia="Times New Roman" w:hAnsi="Times New Roman" w:cs="Times New Roman"/>
                <w:sz w:val="24"/>
                <w:szCs w:val="24"/>
              </w:rPr>
            </w:pPr>
            <w:bookmarkStart w:id="0" w:name="_GoBack"/>
            <w:bookmarkEnd w:id="0"/>
          </w:p>
        </w:tc>
        <w:tc>
          <w:tcPr>
            <w:tcW w:w="6870" w:type="dxa"/>
          </w:tcPr>
          <w:p w:rsidR="00774C13" w:rsidRPr="007A1816"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A1816" w:rsidRDefault="00774C13" w:rsidP="003934A8">
            <w:pPr>
              <w:rPr>
                <w:rFonts w:ascii="Times New Roman" w:eastAsia="Times New Roman" w:hAnsi="Times New Roman" w:cs="Times New Roman"/>
                <w:sz w:val="24"/>
                <w:szCs w:val="24"/>
              </w:rPr>
            </w:pPr>
            <w:r w:rsidRPr="007A1816">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7A1816"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A1816" w:rsidRDefault="00774C13" w:rsidP="003934A8">
            <w:pPr>
              <w:rPr>
                <w:rFonts w:ascii="Times New Roman" w:eastAsia="Times New Roman" w:hAnsi="Times New Roman" w:cs="Times New Roman"/>
                <w:bCs/>
                <w:sz w:val="24"/>
                <w:szCs w:val="24"/>
              </w:rPr>
            </w:pPr>
            <w:r w:rsidRPr="007A1816">
              <w:rPr>
                <w:rFonts w:ascii="Times New Roman" w:eastAsia="Times New Roman" w:hAnsi="Times New Roman" w:cs="Times New Roman"/>
                <w:bCs/>
                <w:sz w:val="24"/>
                <w:szCs w:val="24"/>
              </w:rPr>
              <w:t>4. The writing style, syntax, and vocabulary</w:t>
            </w:r>
            <w:r w:rsidRPr="007A1816">
              <w:rPr>
                <w:rFonts w:ascii="Times New Roman" w:eastAsia="Times New Roman" w:hAnsi="Times New Roman" w:cs="Times New Roman"/>
                <w:bCs/>
                <w:i/>
                <w:sz w:val="24"/>
                <w:szCs w:val="24"/>
              </w:rPr>
              <w:t xml:space="preserve"> </w:t>
            </w:r>
            <w:r w:rsidRPr="007A1816">
              <w:rPr>
                <w:rFonts w:ascii="Times New Roman" w:eastAsia="Times New Roman" w:hAnsi="Times New Roman" w:cs="Times New Roman"/>
                <w:bCs/>
                <w:sz w:val="24"/>
                <w:szCs w:val="24"/>
              </w:rPr>
              <w:t>are appropriate.</w:t>
            </w:r>
          </w:p>
        </w:tc>
        <w:tc>
          <w:tcPr>
            <w:tcW w:w="6870" w:type="dxa"/>
          </w:tcPr>
          <w:p w:rsidR="00774C13" w:rsidRPr="007A1816"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7A1816" w:rsidRDefault="00774C13" w:rsidP="003934A8">
            <w:pPr>
              <w:rPr>
                <w:rFonts w:ascii="Times New Roman" w:eastAsia="Times New Roman" w:hAnsi="Times New Roman" w:cs="Times New Roman"/>
                <w:bCs/>
                <w:sz w:val="24"/>
                <w:szCs w:val="24"/>
              </w:rPr>
            </w:pPr>
            <w:r w:rsidRPr="007A1816">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7A1816"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7A1816"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A1816"/>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6B066E-9602-42C6-8214-2928875C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2018-01-18T01:59:00Z</dcterms:created>
  <dcterms:modified xsi:type="dcterms:W3CDTF">2018-01-19T15:24:00Z</dcterms:modified>
</cp:coreProperties>
</file>