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60040" w14:textId="57219E8F" w:rsidR="00DA1B7D" w:rsidRDefault="00DA1B7D" w:rsidP="00AF4BD1">
      <w:pPr>
        <w:tabs>
          <w:tab w:val="left" w:pos="0"/>
          <w:tab w:val="center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E4141E" w14:textId="77777777" w:rsidR="00DA1B7D" w:rsidRPr="00DA1B7D" w:rsidRDefault="00DA1B7D" w:rsidP="00AF4BD1">
      <w:pPr>
        <w:rPr>
          <w:sz w:val="24"/>
          <w:szCs w:val="24"/>
        </w:rPr>
        <w:sectPr w:rsidR="00DA1B7D" w:rsidRPr="00DA1B7D" w:rsidSect="004245F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90" w:bottom="1440" w:left="0" w:header="0" w:footer="0" w:gutter="0"/>
          <w:pgNumType w:start="1"/>
          <w:cols w:space="720" w:equalWidth="0">
            <w:col w:w="10710" w:space="0"/>
          </w:cols>
          <w:titlePg/>
          <w:docGrid w:linePitch="299"/>
        </w:sectPr>
      </w:pPr>
    </w:p>
    <w:p w14:paraId="0DC93DC5" w14:textId="77777777" w:rsidR="00896154" w:rsidRPr="009520FB" w:rsidRDefault="00896154" w:rsidP="00AF4BD1">
      <w:pPr>
        <w:spacing w:after="0"/>
        <w:rPr>
          <w:rFonts w:cs="Times New Roman"/>
          <w:sz w:val="24"/>
          <w:szCs w:val="24"/>
        </w:rPr>
      </w:pPr>
    </w:p>
    <w:p w14:paraId="13E6ED20" w14:textId="47828600" w:rsidR="00AF4BD1" w:rsidRPr="00AF4BD1" w:rsidRDefault="00AF4BD1" w:rsidP="00AF4BD1">
      <w:pPr>
        <w:pStyle w:val="BodyText"/>
        <w:spacing w:before="100" w:line="276" w:lineRule="auto"/>
        <w:ind w:left="360" w:right="709"/>
        <w:jc w:val="center"/>
        <w:rPr>
          <w:b/>
        </w:rPr>
      </w:pPr>
      <w:r w:rsidRPr="00AF4BD1">
        <w:rPr>
          <w:b/>
        </w:rPr>
        <w:t>Virginia Preschool Initiative Virtual Instruction Guidance 2021-2022</w:t>
      </w:r>
    </w:p>
    <w:p w14:paraId="6777CA61" w14:textId="47828600" w:rsidR="00AF4BD1" w:rsidRDefault="00AF4BD1" w:rsidP="00AF4BD1">
      <w:pPr>
        <w:pStyle w:val="BodyText"/>
        <w:spacing w:before="100" w:line="276" w:lineRule="auto"/>
        <w:ind w:left="360" w:right="709"/>
      </w:pPr>
      <w:r>
        <w:t xml:space="preserve">The Virginia Preschool Initiative (VPI) aims to provide a quality preschool experience for eligible preschool aged students. Quality early childhood learning depends on in-person interactions and social experiences for young children and their peers. Recently passed legislation, </w:t>
      </w:r>
      <w:hyperlink r:id="rId12">
        <w:r>
          <w:rPr>
            <w:color w:val="1154CC"/>
            <w:u w:val="thick" w:color="1154CC"/>
          </w:rPr>
          <w:t>Senate Bill 1303</w:t>
        </w:r>
      </w:hyperlink>
      <w:r>
        <w:t>, requires public school-based early childhood care and education programs, including VPI, to offer in-person instruction for the entirety of the instructional time mandated by program requirements. The programmatic requirements for VPI are as follows:</w:t>
      </w:r>
    </w:p>
    <w:p w14:paraId="799BE67E" w14:textId="77777777" w:rsidR="00AF4BD1" w:rsidRDefault="00AF4BD1" w:rsidP="00AF4BD1">
      <w:pPr>
        <w:pStyle w:val="BodyText"/>
        <w:spacing w:before="2"/>
        <w:rPr>
          <w:sz w:val="25"/>
        </w:rPr>
      </w:pPr>
    </w:p>
    <w:p w14:paraId="6CE66841" w14:textId="77777777" w:rsidR="00AF4BD1" w:rsidRDefault="00AF4BD1" w:rsidP="00AF4BD1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1" w:line="276" w:lineRule="auto"/>
        <w:ind w:right="763"/>
      </w:pPr>
      <w:r>
        <w:t>Full</w:t>
      </w:r>
      <w:r>
        <w:rPr>
          <w:spacing w:val="-5"/>
        </w:rPr>
        <w:t xml:space="preserve"> </w:t>
      </w:r>
      <w:r>
        <w:t>day:</w:t>
      </w:r>
      <w:r>
        <w:rPr>
          <w:spacing w:val="-5"/>
        </w:rPr>
        <w:t xml:space="preserve"> </w:t>
      </w:r>
      <w:r>
        <w:t>VPI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VPI</w:t>
      </w:r>
      <w:r>
        <w:rPr>
          <w:spacing w:val="-5"/>
        </w:rPr>
        <w:t xml:space="preserve"> </w:t>
      </w:r>
      <w:r>
        <w:t>slots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 of</w:t>
      </w:r>
      <w:r>
        <w:rPr>
          <w:spacing w:val="-6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one-half</w:t>
      </w:r>
      <w:r>
        <w:rPr>
          <w:spacing w:val="-6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hours,</w:t>
      </w:r>
      <w:r>
        <w:rPr>
          <w:spacing w:val="-6"/>
        </w:rPr>
        <w:t xml:space="preserve"> </w:t>
      </w:r>
      <w:r>
        <w:t>excluding</w:t>
      </w:r>
      <w:r>
        <w:rPr>
          <w:spacing w:val="-6"/>
        </w:rPr>
        <w:t xml:space="preserve"> </w:t>
      </w:r>
      <w:r>
        <w:t>breaks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meals.</w:t>
      </w:r>
      <w:r>
        <w:rPr>
          <w:spacing w:val="-6"/>
        </w:rPr>
        <w:t xml:space="preserve"> </w:t>
      </w:r>
      <w:r>
        <w:t>VPI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</w:p>
    <w:p w14:paraId="5E3A88D0" w14:textId="77777777" w:rsidR="00AF4BD1" w:rsidRDefault="00AF4BD1" w:rsidP="00AF4BD1">
      <w:pPr>
        <w:pStyle w:val="BodyText"/>
        <w:ind w:left="1080"/>
      </w:pPr>
      <w:proofErr w:type="gramStart"/>
      <w:r>
        <w:t>full-year</w:t>
      </w:r>
      <w:proofErr w:type="gramEnd"/>
      <w:r>
        <w:t xml:space="preserve"> programs at 180 days or at least 990 hours per year.</w:t>
      </w:r>
    </w:p>
    <w:p w14:paraId="069F6F81" w14:textId="77777777" w:rsidR="00AF4BD1" w:rsidRDefault="00AF4BD1" w:rsidP="00AF4BD1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38" w:line="276" w:lineRule="auto"/>
        <w:ind w:right="879"/>
      </w:pPr>
      <w:r>
        <w:t>Half day: VPI programs receiving half day funding for VPI slots must operate a minimum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classroom</w:t>
      </w:r>
      <w:r>
        <w:rPr>
          <w:spacing w:val="-6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day,</w:t>
      </w:r>
      <w:r>
        <w:rPr>
          <w:spacing w:val="-6"/>
        </w:rPr>
        <w:t xml:space="preserve"> </w:t>
      </w:r>
      <w:r>
        <w:t>excluding</w:t>
      </w:r>
      <w:r>
        <w:rPr>
          <w:spacing w:val="-6"/>
        </w:rPr>
        <w:t xml:space="preserve"> </w:t>
      </w:r>
      <w:r>
        <w:t>breaks</w:t>
      </w:r>
      <w:r>
        <w:rPr>
          <w:spacing w:val="-6"/>
        </w:rPr>
        <w:t xml:space="preserve"> </w:t>
      </w:r>
      <w:r>
        <w:t>for lunch.</w:t>
      </w:r>
      <w:r>
        <w:rPr>
          <w:spacing w:val="-5"/>
        </w:rPr>
        <w:t xml:space="preserve"> </w:t>
      </w:r>
      <w:r>
        <w:t>Half-day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180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495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year.</w:t>
      </w:r>
    </w:p>
    <w:p w14:paraId="2D855678" w14:textId="77777777" w:rsidR="00AF4BD1" w:rsidRDefault="00AF4BD1" w:rsidP="00AF4BD1">
      <w:pPr>
        <w:pStyle w:val="BodyText"/>
        <w:spacing w:before="11"/>
        <w:rPr>
          <w:sz w:val="21"/>
        </w:rPr>
      </w:pPr>
    </w:p>
    <w:p w14:paraId="6F5312AE" w14:textId="77777777" w:rsidR="00AF4BD1" w:rsidRDefault="00AF4BD1" w:rsidP="00AF4BD1">
      <w:pPr>
        <w:pStyle w:val="BodyText"/>
        <w:spacing w:line="276" w:lineRule="auto"/>
        <w:ind w:left="360" w:right="709"/>
      </w:pPr>
      <w:r>
        <w:t>While VPI programs must offer in-person instruction for at least the minimum instructional time requirement, providers may still elect to make virtual VPI programming available.</w:t>
      </w:r>
    </w:p>
    <w:p w14:paraId="61009C4A" w14:textId="77777777" w:rsidR="00AF4BD1" w:rsidRDefault="00AF4BD1" w:rsidP="00AF4BD1">
      <w:pPr>
        <w:pStyle w:val="BodyText"/>
        <w:spacing w:line="276" w:lineRule="auto"/>
        <w:ind w:left="360" w:right="709"/>
      </w:pPr>
      <w:r>
        <w:t>Whether fully in-person or virtual learning, all VPI programs must meet the above programmatic requirements. As localities plan for VPI in 2021-2022, the following guidance should be considered:</w:t>
      </w:r>
    </w:p>
    <w:p w14:paraId="6F789F1E" w14:textId="77777777" w:rsidR="00AF4BD1" w:rsidRDefault="00AF4BD1" w:rsidP="00AF4BD1">
      <w:pPr>
        <w:pStyle w:val="BodyText"/>
      </w:pPr>
    </w:p>
    <w:p w14:paraId="017D32BF" w14:textId="77777777" w:rsidR="00AF4BD1" w:rsidRDefault="00AF4BD1" w:rsidP="00AF4BD1">
      <w:pPr>
        <w:pStyle w:val="ListParagraph"/>
        <w:numPr>
          <w:ilvl w:val="0"/>
          <w:numId w:val="1"/>
        </w:numPr>
        <w:tabs>
          <w:tab w:val="left" w:pos="636"/>
        </w:tabs>
        <w:spacing w:line="276" w:lineRule="auto"/>
        <w:ind w:right="706" w:firstLine="0"/>
        <w:jc w:val="left"/>
      </w:pPr>
      <w:r>
        <w:rPr>
          <w:b/>
        </w:rPr>
        <w:t xml:space="preserve">Prioritize In-Person Learning for VPI: </w:t>
      </w:r>
      <w:r>
        <w:t>School divisions offering VPI in 2021-2022 should prioritize offering in-person VPI experiences for families who are interested in attending in person.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divisions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waitlist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VPI</w:t>
      </w:r>
      <w:r>
        <w:rPr>
          <w:spacing w:val="-6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interested</w:t>
      </w:r>
      <w:r>
        <w:rPr>
          <w:spacing w:val="-6"/>
        </w:rPr>
        <w:t xml:space="preserve"> </w:t>
      </w:r>
      <w:r>
        <w:t>in in-person</w:t>
      </w:r>
      <w:r>
        <w:rPr>
          <w:spacing w:val="-7"/>
        </w:rPr>
        <w:t xml:space="preserve"> </w:t>
      </w:r>
      <w:r>
        <w:t>VPI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prioritized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filling</w:t>
      </w:r>
      <w:r>
        <w:rPr>
          <w:spacing w:val="-7"/>
        </w:rPr>
        <w:t xml:space="preserve"> </w:t>
      </w:r>
      <w:r>
        <w:t>allocated</w:t>
      </w:r>
      <w:r>
        <w:rPr>
          <w:spacing w:val="-7"/>
        </w:rPr>
        <w:t xml:space="preserve"> </w:t>
      </w:r>
      <w:r>
        <w:t>slots.</w:t>
      </w:r>
    </w:p>
    <w:p w14:paraId="3B106BC8" w14:textId="77777777" w:rsidR="00AF4BD1" w:rsidRPr="00306DB3" w:rsidRDefault="00AF4BD1" w:rsidP="00AF4BD1">
      <w:pPr>
        <w:pStyle w:val="ListParagraph"/>
        <w:numPr>
          <w:ilvl w:val="0"/>
          <w:numId w:val="1"/>
        </w:numPr>
        <w:tabs>
          <w:tab w:val="left" w:pos="376"/>
        </w:tabs>
        <w:spacing w:before="195" w:line="276" w:lineRule="auto"/>
        <w:ind w:left="564" w:right="353"/>
        <w:jc w:val="left"/>
      </w:pP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</w:rPr>
        <w:t>Program</w:t>
      </w:r>
      <w:r>
        <w:rPr>
          <w:b/>
          <w:spacing w:val="-6"/>
        </w:rPr>
        <w:t xml:space="preserve"> </w:t>
      </w:r>
      <w:r>
        <w:rPr>
          <w:b/>
        </w:rPr>
        <w:t>Requirements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Virtual</w:t>
      </w:r>
      <w:r>
        <w:rPr>
          <w:b/>
          <w:spacing w:val="-6"/>
        </w:rPr>
        <w:t xml:space="preserve"> </w:t>
      </w:r>
      <w:r>
        <w:rPr>
          <w:b/>
        </w:rPr>
        <w:t>VPI</w:t>
      </w:r>
      <w:r>
        <w:rPr>
          <w:b/>
          <w:spacing w:val="-6"/>
        </w:rPr>
        <w:t xml:space="preserve"> </w:t>
      </w:r>
      <w:r>
        <w:rPr>
          <w:b/>
        </w:rPr>
        <w:t>Format</w:t>
      </w:r>
      <w:r>
        <w:t>: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instances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VPI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 offered virtually, the programmatic hours set forth in the 2021 Appropriations Act must be met.</w:t>
      </w:r>
    </w:p>
    <w:p w14:paraId="00039973" w14:textId="77777777" w:rsidR="00AF4BD1" w:rsidRDefault="00AF4BD1" w:rsidP="00AF4BD1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76" w:lineRule="auto"/>
      </w:pPr>
      <w:r>
        <w:t>Based on the developmental needs and screen-time concerns for young learners, the VDOE recommends that any Virtual VPI be offered in the form of half-day slots, which require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classroom</w:t>
      </w:r>
      <w:r>
        <w:rPr>
          <w:spacing w:val="-6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day.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should include quality instructional experiences as described in the VPI guidelines and delivered in a synchronous</w:t>
      </w:r>
      <w:r>
        <w:rPr>
          <w:spacing w:val="-29"/>
        </w:rPr>
        <w:t xml:space="preserve"> </w:t>
      </w:r>
      <w:r>
        <w:t>manner.</w:t>
      </w:r>
    </w:p>
    <w:p w14:paraId="25227BCA" w14:textId="77777777" w:rsidR="00AF4BD1" w:rsidRDefault="00AF4BD1" w:rsidP="00AF4BD1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76" w:lineRule="auto"/>
        <w:ind w:right="162"/>
      </w:pPr>
      <w:r>
        <w:t>Offering full-time VPI in a virtual format is allowable but not recommended. If a division</w:t>
      </w:r>
      <w:r>
        <w:rPr>
          <w:spacing w:val="-6"/>
        </w:rPr>
        <w:t xml:space="preserve"> </w:t>
      </w:r>
      <w:r>
        <w:t>elects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Virtual</w:t>
      </w:r>
      <w:r>
        <w:rPr>
          <w:spacing w:val="-6"/>
        </w:rPr>
        <w:t xml:space="preserve"> </w:t>
      </w:r>
      <w:r>
        <w:t>VPI,</w:t>
      </w:r>
      <w:r>
        <w:rPr>
          <w:spacing w:val="-6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one-half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lastRenderedPageBreak/>
        <w:t xml:space="preserve">synchronous instruction needs to be provided daily. Since this mode of instruction presents challenges for young learners, any division considering this option should email VDOE at </w:t>
      </w:r>
      <w:hyperlink r:id="rId13">
        <w:r>
          <w:rPr>
            <w:color w:val="1154CC"/>
            <w:u w:val="thick" w:color="1154CC"/>
          </w:rPr>
          <w:t xml:space="preserve">EarlyChildhood@doe.virginia.gov </w:t>
        </w:r>
      </w:hyperlink>
      <w:r>
        <w:t>to provide additional details on their proposed approach.</w:t>
      </w:r>
    </w:p>
    <w:p w14:paraId="36F3B1E7" w14:textId="77777777" w:rsidR="00AF4BD1" w:rsidRDefault="00AF4BD1" w:rsidP="00AF4BD1">
      <w:pPr>
        <w:pStyle w:val="BodyText"/>
      </w:pPr>
    </w:p>
    <w:p w14:paraId="3DFCB117" w14:textId="77777777" w:rsidR="00AF4BD1" w:rsidRDefault="00AF4BD1" w:rsidP="00AF4BD1">
      <w:pPr>
        <w:pStyle w:val="BodyText"/>
        <w:spacing w:line="276" w:lineRule="auto"/>
        <w:ind w:left="100"/>
      </w:pPr>
      <w:r>
        <w:t>Please note that if during the 2021-2022 school year a locality makes the decision to temporarily move a site or multiple sites to virtual-only due to high-transmission rates of COVID 19, or other unforeseen COVID 19 circumstances, there will be no impact on funding rate. VPI Programs should have a plan in place at all sites to maximize instructional hours in the case of required closures.</w:t>
      </w:r>
    </w:p>
    <w:p w14:paraId="22228A23" w14:textId="77777777" w:rsidR="00AF4BD1" w:rsidRDefault="00AF4BD1" w:rsidP="00AF4BD1">
      <w:pPr>
        <w:pStyle w:val="BodyText"/>
        <w:rPr>
          <w:sz w:val="26"/>
        </w:rPr>
      </w:pPr>
    </w:p>
    <w:p w14:paraId="5F1D9B1B" w14:textId="668AB6C2" w:rsidR="00AF4BD1" w:rsidRDefault="00AF4BD1" w:rsidP="00AF4BD1">
      <w:pPr>
        <w:pStyle w:val="BodyText"/>
        <w:spacing w:before="110"/>
        <w:ind w:left="100"/>
      </w:pPr>
      <w:r>
        <w:t>Questions related to VPI Virtual Instruction Guidance may be directed to</w:t>
      </w:r>
      <w:r>
        <w:t xml:space="preserve"> </w:t>
      </w:r>
      <w:hyperlink r:id="rId14" w:history="1">
        <w:r w:rsidRPr="000A20A3">
          <w:rPr>
            <w:rStyle w:val="Hyperlink"/>
          </w:rPr>
          <w:t>earlychildhood@doe.virginia.gov</w:t>
        </w:r>
      </w:hyperlink>
      <w:r>
        <w:t xml:space="preserve"> </w:t>
      </w:r>
    </w:p>
    <w:p w14:paraId="5FAF44C8" w14:textId="1F6FF58C" w:rsidR="00240712" w:rsidRPr="00E92CC8" w:rsidRDefault="00240712" w:rsidP="00AF4BD1">
      <w:pPr>
        <w:spacing w:after="0"/>
        <w:rPr>
          <w:rFonts w:cs="Times New Roman"/>
          <w:sz w:val="24"/>
          <w:szCs w:val="24"/>
        </w:rPr>
        <w:sectPr w:rsidR="00240712" w:rsidRPr="00E92CC8" w:rsidSect="00240712">
          <w:type w:val="continuous"/>
          <w:pgSz w:w="12240" w:h="15840"/>
          <w:pgMar w:top="1440" w:right="1440" w:bottom="1440" w:left="1440" w:header="0" w:footer="1138" w:gutter="0"/>
          <w:pgNumType w:start="1"/>
          <w:cols w:space="720" w:equalWidth="0">
            <w:col w:w="9360" w:space="0"/>
          </w:cols>
          <w:docGrid w:linePitch="299"/>
        </w:sectPr>
      </w:pPr>
      <w:bookmarkStart w:id="0" w:name="_GoBack"/>
      <w:bookmarkEnd w:id="0"/>
    </w:p>
    <w:p w14:paraId="4E565282" w14:textId="3EA6D791" w:rsidR="004245FF" w:rsidRDefault="004245FF" w:rsidP="00AF4BD1">
      <w:pPr>
        <w:rPr>
          <w:rFonts w:ascii="Proxima Nova" w:eastAsia="Proxima Nova" w:hAnsi="Proxima Nova" w:cs="Proxima Nova"/>
        </w:rPr>
        <w:sectPr w:rsidR="004245FF" w:rsidSect="00E57277">
          <w:type w:val="continuous"/>
          <w:pgSz w:w="12240" w:h="15840"/>
          <w:pgMar w:top="720" w:right="1440" w:bottom="1440" w:left="1440" w:header="0" w:footer="1138" w:gutter="0"/>
          <w:pgNumType w:start="1"/>
          <w:cols w:space="720" w:equalWidth="0">
            <w:col w:w="9360" w:space="0"/>
          </w:cols>
        </w:sectPr>
      </w:pPr>
    </w:p>
    <w:p w14:paraId="134F1120" w14:textId="1C0AF341" w:rsidR="0054373B" w:rsidRDefault="0054373B" w:rsidP="00AF4BD1">
      <w:pPr>
        <w:rPr>
          <w:rFonts w:ascii="Proxima Nova" w:eastAsia="Proxima Nova" w:hAnsi="Proxima Nova" w:cs="Proxima Nova"/>
        </w:rPr>
      </w:pPr>
    </w:p>
    <w:sectPr w:rsidR="0054373B" w:rsidSect="00F27FE5">
      <w:type w:val="continuous"/>
      <w:pgSz w:w="12240" w:h="15840"/>
      <w:pgMar w:top="1440" w:right="1440" w:bottom="1440" w:left="1440" w:header="0" w:footer="1138" w:gutter="0"/>
      <w:pgNumType w:start="1"/>
      <w:cols w:space="720" w:equalWidth="0">
        <w:col w:w="936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D65C8" w14:textId="77777777" w:rsidR="00E438ED" w:rsidRDefault="00E438ED">
      <w:pPr>
        <w:spacing w:after="0" w:line="240" w:lineRule="auto"/>
      </w:pPr>
      <w:r>
        <w:separator/>
      </w:r>
    </w:p>
  </w:endnote>
  <w:endnote w:type="continuationSeparator" w:id="0">
    <w:p w14:paraId="33737F80" w14:textId="77777777" w:rsidR="00E438ED" w:rsidRDefault="00E4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do">
    <w:altName w:val="Times New Roman"/>
    <w:charset w:val="B1"/>
    <w:family w:val="roman"/>
    <w:pitch w:val="variable"/>
    <w:sig w:usb0="00000000" w:usb1="5201E0FB" w:usb2="04608000" w:usb3="00000000" w:csb0="000000BB" w:csb1="00000000"/>
  </w:font>
  <w:font w:name="Josefin Sans">
    <w:altName w:val="Sitka Small"/>
    <w:charset w:val="4D"/>
    <w:family w:val="auto"/>
    <w:pitch w:val="variable"/>
    <w:sig w:usb0="00000001" w:usb1="00000000" w:usb2="00000000" w:usb3="00000000" w:csb0="00000193" w:csb1="00000000"/>
  </w:font>
  <w:font w:name="Proxima Nova">
    <w:altName w:val="Tahom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4839" w14:textId="45EFA3CF" w:rsidR="00116395" w:rsidRPr="00E57277" w:rsidRDefault="00116395" w:rsidP="004245FF">
    <w:pPr>
      <w:spacing w:after="0"/>
      <w:rPr>
        <w:rFonts w:asciiTheme="majorHAnsi" w:eastAsia="Josefin Sans" w:hAnsiTheme="majorHAnsi" w:cs="Josefin Sans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0C586" w14:textId="0C3011ED" w:rsidR="004245FF" w:rsidRPr="004245FF" w:rsidRDefault="004245FF" w:rsidP="004245FF">
    <w:pPr>
      <w:spacing w:after="0"/>
      <w:jc w:val="center"/>
      <w:rPr>
        <w:rFonts w:asciiTheme="majorHAnsi" w:eastAsia="Josefin Sans" w:hAnsiTheme="majorHAnsi" w:cs="Josefin Sans"/>
        <w:sz w:val="18"/>
        <w:szCs w:val="18"/>
      </w:rPr>
    </w:pPr>
    <w:r w:rsidRPr="00506A8B">
      <w:rPr>
        <w:rFonts w:asciiTheme="majorHAnsi" w:eastAsia="Josefin Sans" w:hAnsiTheme="majorHAnsi" w:cs="Josefin Sans"/>
        <w:sz w:val="18"/>
        <w:szCs w:val="18"/>
      </w:rPr>
      <w:t>PO Box 2120 Richmond, VA 23218</w:t>
    </w:r>
    <w:r w:rsidRPr="00506A8B">
      <w:rPr>
        <w:rFonts w:asciiTheme="majorHAnsi" w:eastAsia="Josefin Sans" w:hAnsiTheme="majorHAnsi" w:cs="Josefin Sans"/>
        <w:color w:val="BB0034"/>
        <w:sz w:val="18"/>
        <w:szCs w:val="18"/>
      </w:rPr>
      <w:t xml:space="preserve"> | </w:t>
    </w:r>
    <w:r w:rsidRPr="00506A8B">
      <w:rPr>
        <w:rFonts w:asciiTheme="majorHAnsi" w:eastAsia="Josefin Sans" w:hAnsiTheme="majorHAnsi" w:cs="Josefin Sans"/>
        <w:sz w:val="18"/>
        <w:szCs w:val="18"/>
      </w:rPr>
      <w:t>101 N. 14th Street Richmond, VA 23219</w:t>
    </w:r>
    <w:r w:rsidRPr="00506A8B">
      <w:rPr>
        <w:rFonts w:asciiTheme="majorHAnsi" w:eastAsia="Josefin Sans" w:hAnsiTheme="majorHAnsi" w:cs="Josefin Sans"/>
        <w:color w:val="BB0034"/>
        <w:sz w:val="18"/>
        <w:szCs w:val="18"/>
      </w:rPr>
      <w:t xml:space="preserve"> | </w:t>
    </w:r>
    <w:r w:rsidRPr="00506A8B">
      <w:rPr>
        <w:rFonts w:asciiTheme="majorHAnsi" w:eastAsia="Josefin Sans" w:hAnsiTheme="majorHAnsi" w:cs="Josefin Sans"/>
        <w:sz w:val="18"/>
        <w:szCs w:val="18"/>
      </w:rPr>
      <w:t>1-800-292-3820</w:t>
    </w:r>
    <w:r w:rsidRPr="00506A8B">
      <w:rPr>
        <w:rFonts w:asciiTheme="majorHAnsi" w:eastAsia="Josefin Sans" w:hAnsiTheme="majorHAnsi" w:cs="Josefin Sans"/>
        <w:color w:val="BB0034"/>
        <w:sz w:val="18"/>
        <w:szCs w:val="18"/>
      </w:rPr>
      <w:t xml:space="preserve"> | </w:t>
    </w:r>
    <w:r w:rsidRPr="00506A8B">
      <w:rPr>
        <w:rFonts w:asciiTheme="majorHAnsi" w:eastAsia="Josefin Sans" w:hAnsiTheme="majorHAnsi" w:cs="Josefin Sans"/>
        <w:sz w:val="18"/>
        <w:szCs w:val="18"/>
      </w:rPr>
      <w:t>doe.virginia.gov</w:t>
    </w:r>
    <w:r>
      <w:rPr>
        <w:rFonts w:asciiTheme="majorHAnsi" w:hAnsiTheme="majorHAnsi"/>
        <w:noProof/>
        <w:sz w:val="18"/>
        <w:szCs w:val="18"/>
        <w:lang w:val="en-US"/>
      </w:rPr>
      <w:softHyphen/>
    </w:r>
    <w:r>
      <w:rPr>
        <w:rFonts w:asciiTheme="majorHAnsi" w:hAnsiTheme="majorHAnsi"/>
        <w:noProof/>
        <w:sz w:val="18"/>
        <w:szCs w:val="18"/>
        <w:lang w:val="en-US"/>
      </w:rPr>
      <w:softHyphen/>
    </w:r>
    <w:r>
      <w:rPr>
        <w:rFonts w:asciiTheme="majorHAnsi" w:hAnsiTheme="majorHAnsi"/>
        <w:noProof/>
        <w:sz w:val="18"/>
        <w:szCs w:val="18"/>
        <w:lang w:val="en-US"/>
      </w:rPr>
      <w:softHyphen/>
    </w:r>
    <w:r>
      <w:rPr>
        <w:rFonts w:asciiTheme="majorHAnsi" w:hAnsiTheme="majorHAnsi"/>
        <w:noProof/>
        <w:sz w:val="18"/>
        <w:szCs w:val="18"/>
        <w:lang w:val="en-US"/>
      </w:rPr>
      <w:softHyphen/>
    </w:r>
    <w:r w:rsidRPr="00506A8B">
      <w:rPr>
        <w:rFonts w:asciiTheme="majorHAnsi" w:hAnsiTheme="majorHAnsi"/>
        <w:noProof/>
        <w:sz w:val="18"/>
        <w:szCs w:val="18"/>
        <w:lang w:val="en-US"/>
      </w:rPr>
      <w:drawing>
        <wp:inline distT="0" distB="0" distL="0" distR="0" wp14:anchorId="691AA0A8" wp14:editId="3D924F55">
          <wp:extent cx="7772400" cy="713232"/>
          <wp:effectExtent l="0" t="0" r="0" b="0"/>
          <wp:docPr id="72" name="image2.png" descr="Decorative footer that contains the words &quot;Virginia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corative footer that contains the words &quot;Virginia Department of Education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95"/>
                  <a:stretch>
                    <a:fillRect/>
                  </a:stretch>
                </pic:blipFill>
                <pic:spPr>
                  <a:xfrm>
                    <a:off x="0" y="0"/>
                    <a:ext cx="7772400" cy="7132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C22C4" w14:textId="77777777" w:rsidR="00E438ED" w:rsidRDefault="00E438ED">
      <w:pPr>
        <w:spacing w:after="0" w:line="240" w:lineRule="auto"/>
      </w:pPr>
      <w:r>
        <w:separator/>
      </w:r>
    </w:p>
  </w:footnote>
  <w:footnote w:type="continuationSeparator" w:id="0">
    <w:p w14:paraId="312AA599" w14:textId="77777777" w:rsidR="00E438ED" w:rsidRDefault="00E4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79579" w14:textId="79F05D2C" w:rsidR="00116395" w:rsidRDefault="00116395" w:rsidP="00DA1B7D">
    <w:pPr>
      <w:ind w:left="-1440" w:firstLine="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59E61" w14:textId="12DD6EA1" w:rsidR="004245FF" w:rsidRDefault="004245FF">
    <w:pPr>
      <w:pStyle w:val="Header"/>
    </w:pPr>
    <w:r>
      <w:rPr>
        <w:noProof/>
        <w:lang w:val="en-US"/>
      </w:rPr>
      <w:drawing>
        <wp:inline distT="0" distB="0" distL="0" distR="0" wp14:anchorId="53E9C0F9" wp14:editId="403F1495">
          <wp:extent cx="7793764" cy="1071880"/>
          <wp:effectExtent l="0" t="0" r="0" b="0"/>
          <wp:docPr id="3" name="image1.png" descr="Decorative Header containing the VDO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corative Header containing the VDOE Logo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232"/>
                  <a:stretch>
                    <a:fillRect/>
                  </a:stretch>
                </pic:blipFill>
                <pic:spPr>
                  <a:xfrm>
                    <a:off x="0" y="0"/>
                    <a:ext cx="7799357" cy="1072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C3D"/>
    <w:multiLevelType w:val="hybridMultilevel"/>
    <w:tmpl w:val="78C46CE2"/>
    <w:lvl w:ilvl="0" w:tplc="A4DC09A4">
      <w:numFmt w:val="bullet"/>
      <w:lvlText w:val="●"/>
      <w:lvlJc w:val="left"/>
      <w:pPr>
        <w:ind w:left="10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DFAFA56"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7AA48716"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D91A5D6E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CDE8FDAC"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6F7C6E22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7F901714"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B096E604">
      <w:numFmt w:val="bullet"/>
      <w:lvlText w:val="•"/>
      <w:lvlJc w:val="left"/>
      <w:pPr>
        <w:ind w:left="7618" w:hanging="360"/>
      </w:pPr>
      <w:rPr>
        <w:rFonts w:hint="default"/>
      </w:rPr>
    </w:lvl>
    <w:lvl w:ilvl="8" w:tplc="CA98CFBE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1" w15:restartNumberingAfterBreak="0">
    <w:nsid w:val="7CC3083B"/>
    <w:multiLevelType w:val="hybridMultilevel"/>
    <w:tmpl w:val="F2D8043A"/>
    <w:lvl w:ilvl="0" w:tplc="92A89FF2">
      <w:start w:val="1"/>
      <w:numFmt w:val="decimal"/>
      <w:lvlText w:val="%1."/>
      <w:lvlJc w:val="left"/>
      <w:pPr>
        <w:ind w:left="360" w:hanging="276"/>
        <w:jc w:val="right"/>
      </w:pPr>
      <w:rPr>
        <w:rFonts w:ascii="Trebuchet MS" w:eastAsia="Trebuchet MS" w:hAnsi="Trebuchet MS" w:cs="Trebuchet MS" w:hint="default"/>
        <w:b/>
        <w:bCs/>
        <w:spacing w:val="-1"/>
        <w:w w:val="100"/>
        <w:sz w:val="22"/>
        <w:szCs w:val="22"/>
      </w:rPr>
    </w:lvl>
    <w:lvl w:ilvl="1" w:tplc="85F815E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782A59D8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2869138"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9ABA5C26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8BB41B72"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6590D700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B2422A6E"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03FE82F4"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95"/>
    <w:rsid w:val="00116395"/>
    <w:rsid w:val="00174CE0"/>
    <w:rsid w:val="001A4216"/>
    <w:rsid w:val="00240712"/>
    <w:rsid w:val="004245FF"/>
    <w:rsid w:val="004578A9"/>
    <w:rsid w:val="004D278A"/>
    <w:rsid w:val="00506A8B"/>
    <w:rsid w:val="0054373B"/>
    <w:rsid w:val="005A0C0A"/>
    <w:rsid w:val="005D54BF"/>
    <w:rsid w:val="00635D35"/>
    <w:rsid w:val="00644CA6"/>
    <w:rsid w:val="0064732A"/>
    <w:rsid w:val="00896154"/>
    <w:rsid w:val="00AF4BD1"/>
    <w:rsid w:val="00B27722"/>
    <w:rsid w:val="00B72BBE"/>
    <w:rsid w:val="00B876E8"/>
    <w:rsid w:val="00B97BD4"/>
    <w:rsid w:val="00DA1B7D"/>
    <w:rsid w:val="00E35675"/>
    <w:rsid w:val="00E438ED"/>
    <w:rsid w:val="00E52A5F"/>
    <w:rsid w:val="00E57277"/>
    <w:rsid w:val="00F27FE5"/>
    <w:rsid w:val="00F51138"/>
    <w:rsid w:val="00F954AE"/>
    <w:rsid w:val="00F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98E6E"/>
  <w15:docId w15:val="{963480C0-4576-A64A-BC8C-9A53F92D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do" w:eastAsia="Cardo" w:hAnsi="Cardo" w:cs="Cardo"/>
        <w:color w:val="353744"/>
        <w:sz w:val="22"/>
        <w:szCs w:val="22"/>
        <w:lang w:val="en" w:eastAsia="en-US" w:bidi="ar-SA"/>
      </w:rPr>
    </w:rPrDefault>
    <w:pPrDefault>
      <w:pPr>
        <w:spacing w:after="3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E8"/>
    <w:rPr>
      <w:rFonts w:ascii="Times New Roman" w:hAnsi="Times New Roman"/>
    </w:rPr>
  </w:style>
  <w:style w:type="paragraph" w:styleId="Heading1">
    <w:name w:val="heading 1"/>
    <w:basedOn w:val="Normal"/>
    <w:next w:val="Normal"/>
    <w:uiPriority w:val="9"/>
    <w:qFormat/>
    <w:rsid w:val="00B876E8"/>
    <w:pPr>
      <w:keepNext/>
      <w:keepLines/>
      <w:spacing w:after="120"/>
      <w:outlineLvl w:val="0"/>
    </w:pPr>
    <w:rPr>
      <w:rFonts w:ascii="Trebuchet MS" w:eastAsia="Josefin Sans" w:hAnsi="Trebuchet MS" w:cs="Josefin Sans"/>
      <w:b/>
      <w:color w:val="D50032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876E8"/>
    <w:pPr>
      <w:keepNext/>
      <w:keepLines/>
      <w:spacing w:after="120"/>
      <w:outlineLvl w:val="1"/>
    </w:pPr>
    <w:rPr>
      <w:rFonts w:ascii="Trebuchet MS" w:eastAsia="Josefin Sans" w:hAnsi="Trebuchet MS" w:cs="Josefin Sans"/>
      <w:b/>
      <w:color w:val="D50032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876E8"/>
    <w:pPr>
      <w:keepNext/>
      <w:keepLines/>
      <w:spacing w:after="300"/>
    </w:pPr>
    <w:rPr>
      <w:rFonts w:ascii="Trebuchet MS" w:eastAsia="Josefin Sans" w:hAnsi="Trebuchet MS" w:cs="Josefin Sans"/>
      <w:color w:val="D50032"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C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30"/>
  </w:style>
  <w:style w:type="paragraph" w:styleId="Footer">
    <w:name w:val="footer"/>
    <w:basedOn w:val="Normal"/>
    <w:link w:val="FooterChar"/>
    <w:uiPriority w:val="99"/>
    <w:unhideWhenUsed/>
    <w:rsid w:val="00FC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30"/>
  </w:style>
  <w:style w:type="paragraph" w:styleId="BodyText">
    <w:name w:val="Body Text"/>
    <w:basedOn w:val="Normal"/>
    <w:link w:val="BodyTextChar"/>
    <w:uiPriority w:val="1"/>
    <w:qFormat/>
    <w:rsid w:val="00AF4BD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4BD1"/>
    <w:rPr>
      <w:rFonts w:ascii="Trebuchet MS" w:eastAsia="Trebuchet MS" w:hAnsi="Trebuchet MS" w:cs="Trebuchet MS"/>
      <w:color w:val="auto"/>
      <w:lang w:val="en-US"/>
    </w:rPr>
  </w:style>
  <w:style w:type="paragraph" w:styleId="ListParagraph">
    <w:name w:val="List Paragraph"/>
    <w:basedOn w:val="Normal"/>
    <w:uiPriority w:val="1"/>
    <w:qFormat/>
    <w:rsid w:val="00AF4BD1"/>
    <w:pPr>
      <w:widowControl w:val="0"/>
      <w:autoSpaceDE w:val="0"/>
      <w:autoSpaceDN w:val="0"/>
      <w:spacing w:after="0" w:line="240" w:lineRule="auto"/>
      <w:ind w:left="820" w:right="114" w:hanging="360"/>
    </w:pPr>
    <w:rPr>
      <w:rFonts w:ascii="Trebuchet MS" w:eastAsia="Trebuchet MS" w:hAnsi="Trebuchet MS" w:cs="Trebuchet MS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AF4BD1"/>
    <w:rPr>
      <w:color w:val="D5003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arlyChildhood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s.virginia.gov/cgi-bin/legp604.exe?212%2Bsum%2BSB1303&amp;amp;212%2Bsum%2BSB130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arlychildhood@doe.virginia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DOE">
  <a:themeElements>
    <a:clrScheme name="VDOE">
      <a:dk1>
        <a:sysClr val="windowText" lastClr="000000"/>
      </a:dk1>
      <a:lt1>
        <a:sysClr val="window" lastClr="FFFFFF"/>
      </a:lt1>
      <a:dk2>
        <a:srgbClr val="101820"/>
      </a:dk2>
      <a:lt2>
        <a:srgbClr val="F1E6B2"/>
      </a:lt2>
      <a:accent1>
        <a:srgbClr val="D50032"/>
      </a:accent1>
      <a:accent2>
        <a:srgbClr val="101820"/>
      </a:accent2>
      <a:accent3>
        <a:srgbClr val="FFC72C"/>
      </a:accent3>
      <a:accent4>
        <a:srgbClr val="F1E6B2"/>
      </a:accent4>
      <a:accent5>
        <a:srgbClr val="259591"/>
      </a:accent5>
      <a:accent6>
        <a:srgbClr val="7F7F7F"/>
      </a:accent6>
      <a:hlink>
        <a:srgbClr val="D50032"/>
      </a:hlink>
      <a:folHlink>
        <a:srgbClr val="000000"/>
      </a:folHlink>
    </a:clrScheme>
    <a:fontScheme name="VDOE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32FD-7F43-45E0-8D29-BC623A37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Nuthall, Timothy (DOE)</dc:creator>
  <cp:lastModifiedBy>Erin Carroll</cp:lastModifiedBy>
  <cp:revision>2</cp:revision>
  <dcterms:created xsi:type="dcterms:W3CDTF">2021-08-25T20:09:00Z</dcterms:created>
  <dcterms:modified xsi:type="dcterms:W3CDTF">2021-08-25T20:09:00Z</dcterms:modified>
</cp:coreProperties>
</file>