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0E" w:rsidRPr="003A4C12" w:rsidRDefault="0035660E" w:rsidP="000D6F69">
      <w:pPr>
        <w:pStyle w:val="Heading1"/>
        <w:spacing w:before="0"/>
        <w:ind w:left="-2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4C12">
        <w:rPr>
          <w:rFonts w:ascii="Times New Roman" w:hAnsi="Times New Roman"/>
          <w:color w:val="auto"/>
          <w:sz w:val="24"/>
          <w:szCs w:val="24"/>
        </w:rPr>
        <w:t>Virginia Career and Technical Education Advisory Committee Meeting</w:t>
      </w:r>
    </w:p>
    <w:p w:rsidR="0035660E" w:rsidRPr="00703CA9" w:rsidRDefault="0035660E" w:rsidP="0035660E">
      <w:pPr>
        <w:jc w:val="center"/>
        <w:rPr>
          <w:b/>
        </w:rPr>
      </w:pPr>
    </w:p>
    <w:p w:rsidR="00281973" w:rsidRDefault="00D158D2" w:rsidP="00281973">
      <w:pPr>
        <w:jc w:val="center"/>
      </w:pPr>
      <w:r>
        <w:t>January 20, 2022</w:t>
      </w:r>
      <w:r w:rsidR="00281973">
        <w:t xml:space="preserve"> - 9 a.m. to </w:t>
      </w:r>
      <w:r>
        <w:t>1 p.m.</w:t>
      </w:r>
    </w:p>
    <w:p w:rsidR="00D158D2" w:rsidRPr="006A2B7D" w:rsidRDefault="00D158D2" w:rsidP="00D158D2">
      <w:pPr>
        <w:jc w:val="center"/>
      </w:pPr>
      <w:r>
        <w:t>Virtual Zoom Meeting</w:t>
      </w:r>
    </w:p>
    <w:p w:rsidR="00D158D2" w:rsidRPr="006A2B7D" w:rsidRDefault="00D158D2" w:rsidP="00281973">
      <w:pPr>
        <w:jc w:val="center"/>
      </w:pPr>
    </w:p>
    <w:p w:rsidR="00D158D2" w:rsidRPr="008B088C" w:rsidRDefault="00D158D2" w:rsidP="00D158D2">
      <w:pPr>
        <w:pStyle w:val="NormalWeb"/>
        <w:spacing w:before="135" w:beforeAutospacing="0" w:after="90" w:afterAutospacing="0"/>
        <w:rPr>
          <w:color w:val="000000"/>
          <w:sz w:val="22"/>
          <w:szCs w:val="22"/>
        </w:rPr>
      </w:pPr>
      <w:r w:rsidRPr="008B088C">
        <w:rPr>
          <w:color w:val="000000"/>
          <w:sz w:val="22"/>
          <w:szCs w:val="22"/>
        </w:rPr>
        <w:t>The Virginia Career and Technical Education Advisory Committee will hold its quarterly meeting, beginning at 9 a.m.</w:t>
      </w:r>
      <w:r>
        <w:rPr>
          <w:color w:val="000000"/>
          <w:sz w:val="22"/>
          <w:szCs w:val="22"/>
        </w:rPr>
        <w:t>, January 20, 2022.</w:t>
      </w:r>
      <w:r w:rsidRPr="008B08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agenda is provided below. </w:t>
      </w:r>
      <w:r w:rsidRPr="008B088C">
        <w:rPr>
          <w:color w:val="000000"/>
          <w:sz w:val="22"/>
          <w:szCs w:val="22"/>
        </w:rPr>
        <w:t>Oral publ</w:t>
      </w:r>
      <w:r>
        <w:rPr>
          <w:color w:val="000000"/>
          <w:sz w:val="22"/>
          <w:szCs w:val="22"/>
        </w:rPr>
        <w:t>ic comment will not be accepted;</w:t>
      </w:r>
      <w:r w:rsidRPr="008B08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written public comment should be sent via email</w:t>
      </w:r>
      <w:r w:rsidRPr="008B088C">
        <w:rPr>
          <w:color w:val="000000"/>
          <w:sz w:val="22"/>
          <w:szCs w:val="22"/>
        </w:rPr>
        <w:t xml:space="preserve"> at </w:t>
      </w:r>
      <w:hyperlink r:id="rId4" w:history="1">
        <w:r w:rsidRPr="008B088C">
          <w:rPr>
            <w:rStyle w:val="Hyperlink"/>
            <w:sz w:val="22"/>
            <w:szCs w:val="22"/>
          </w:rPr>
          <w:t>cte@doe.virginia.gov</w:t>
        </w:r>
      </w:hyperlink>
      <w:r w:rsidRPr="008B088C">
        <w:rPr>
          <w:color w:val="000000"/>
          <w:sz w:val="22"/>
          <w:szCs w:val="22"/>
        </w:rPr>
        <w:t>. Written public comment receive</w:t>
      </w:r>
      <w:r>
        <w:rPr>
          <w:color w:val="000000"/>
          <w:sz w:val="22"/>
          <w:szCs w:val="22"/>
        </w:rPr>
        <w:t>d by 5</w:t>
      </w:r>
      <w:r w:rsidRPr="008B088C">
        <w:rPr>
          <w:color w:val="000000"/>
          <w:sz w:val="22"/>
          <w:szCs w:val="22"/>
        </w:rPr>
        <w:t xml:space="preserve"> p.m. on </w:t>
      </w:r>
      <w:r>
        <w:rPr>
          <w:color w:val="000000"/>
          <w:sz w:val="22"/>
          <w:szCs w:val="22"/>
        </w:rPr>
        <w:t>Tuesday</w:t>
      </w:r>
      <w:r w:rsidRPr="008B088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January 18, 2022,</w:t>
      </w:r>
      <w:r w:rsidRPr="008B088C">
        <w:rPr>
          <w:color w:val="000000"/>
          <w:sz w:val="22"/>
          <w:szCs w:val="22"/>
        </w:rPr>
        <w:t xml:space="preserve"> will be provided to the Committee in a timely manner.</w:t>
      </w:r>
    </w:p>
    <w:p w:rsidR="00D158D2" w:rsidRPr="008B088C" w:rsidRDefault="00D158D2" w:rsidP="00D158D2">
      <w:pPr>
        <w:pStyle w:val="NormalWeb"/>
        <w:spacing w:before="135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Pr="008B088C">
        <w:rPr>
          <w:color w:val="000000"/>
          <w:sz w:val="22"/>
          <w:szCs w:val="22"/>
        </w:rPr>
        <w:t>meeting</w:t>
      </w:r>
      <w:r>
        <w:rPr>
          <w:color w:val="000000"/>
          <w:sz w:val="22"/>
          <w:szCs w:val="22"/>
        </w:rPr>
        <w:t xml:space="preserve"> will be </w:t>
      </w:r>
      <w:r w:rsidRPr="008B088C">
        <w:rPr>
          <w:color w:val="000000"/>
          <w:sz w:val="22"/>
          <w:szCs w:val="22"/>
        </w:rPr>
        <w:t xml:space="preserve">open to the public for viewing. </w:t>
      </w:r>
      <w:r>
        <w:rPr>
          <w:color w:val="000000"/>
          <w:sz w:val="22"/>
          <w:szCs w:val="22"/>
        </w:rPr>
        <w:t xml:space="preserve"> The </w:t>
      </w:r>
      <w:r w:rsidRPr="008B088C">
        <w:rPr>
          <w:color w:val="000000"/>
          <w:sz w:val="22"/>
          <w:szCs w:val="22"/>
        </w:rPr>
        <w:t>meeting will be livestreamed on the </w:t>
      </w:r>
      <w:hyperlink r:id="rId5" w:history="1">
        <w:r w:rsidRPr="008B088C">
          <w:rPr>
            <w:rStyle w:val="Hyperlink"/>
            <w:sz w:val="22"/>
            <w:szCs w:val="22"/>
            <w:bdr w:val="none" w:sz="0" w:space="0" w:color="auto" w:frame="1"/>
          </w:rPr>
          <w:t>VDOE YouTube channel</w:t>
        </w:r>
        <w:r w:rsidRPr="002642F0">
          <w:rPr>
            <w:noProof/>
            <w:color w:val="0000FF"/>
            <w:sz w:val="22"/>
            <w:szCs w:val="22"/>
            <w:bdr w:val="none" w:sz="0" w:space="0" w:color="auto" w:frame="1"/>
          </w:rPr>
          <w:drawing>
            <wp:inline distT="0" distB="0" distL="0" distR="0" wp14:anchorId="2282F418" wp14:editId="14DB142A">
              <wp:extent cx="123825" cy="95250"/>
              <wp:effectExtent l="0" t="0" r="0" b="0"/>
              <wp:docPr id="1" name="Picture 1" descr="This link takes you out of the Virginia Department of Education website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his link takes you out of the Virginia Department of Education website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8B088C">
        <w:rPr>
          <w:color w:val="000000"/>
          <w:sz w:val="22"/>
          <w:szCs w:val="22"/>
        </w:rPr>
        <w:t xml:space="preserve">. </w:t>
      </w:r>
    </w:p>
    <w:p w:rsidR="00281973" w:rsidRDefault="00281973" w:rsidP="0035660E">
      <w:pPr>
        <w:pStyle w:val="Heading21"/>
      </w:pPr>
    </w:p>
    <w:p w:rsidR="0035660E" w:rsidRPr="006A2B7D" w:rsidRDefault="0035660E" w:rsidP="0035660E">
      <w:pPr>
        <w:pStyle w:val="Heading21"/>
      </w:pPr>
      <w:r>
        <w:t xml:space="preserve">TENTATIVE </w:t>
      </w:r>
      <w:r w:rsidRPr="006A2B7D">
        <w:t>AGENDA</w:t>
      </w:r>
    </w:p>
    <w:p w:rsidR="0035660E" w:rsidRPr="003A2EC3" w:rsidRDefault="0035660E" w:rsidP="003A4C12">
      <w:pPr>
        <w:tabs>
          <w:tab w:val="left" w:pos="720"/>
          <w:tab w:val="left" w:pos="1584"/>
          <w:tab w:val="right" w:leader="dot" w:pos="9360"/>
        </w:tabs>
        <w:rPr>
          <w:sz w:val="23"/>
          <w:szCs w:val="23"/>
        </w:rPr>
      </w:pPr>
    </w:p>
    <w:p w:rsidR="004B0597" w:rsidRPr="00CF3154" w:rsidRDefault="0035660E" w:rsidP="003A4C12">
      <w:pPr>
        <w:pStyle w:val="Heading31"/>
        <w:tabs>
          <w:tab w:val="clear" w:pos="9360"/>
          <w:tab w:val="right" w:leader="dot" w:pos="10080"/>
        </w:tabs>
      </w:pPr>
      <w:r w:rsidRPr="00CF3154">
        <w:t>9 a.m. Opening Remarks and Welcome</w:t>
      </w:r>
      <w:r w:rsidR="00281973" w:rsidRPr="00CF3154">
        <w:tab/>
        <w:t xml:space="preserve">Dr. </w:t>
      </w:r>
      <w:proofErr w:type="spellStart"/>
      <w:r w:rsidR="00281973" w:rsidRPr="00CF3154">
        <w:t>Sukeena</w:t>
      </w:r>
      <w:proofErr w:type="spellEnd"/>
      <w:r w:rsidR="00281973" w:rsidRPr="00CF3154">
        <w:t xml:space="preserve"> Stephens,</w:t>
      </w:r>
      <w:r w:rsidR="004B0597" w:rsidRPr="00CF3154">
        <w:t xml:space="preserve"> Chair</w:t>
      </w:r>
    </w:p>
    <w:p w:rsidR="00AF7313" w:rsidRPr="00CF3154" w:rsidRDefault="00AF7313" w:rsidP="003A4C12">
      <w:pPr>
        <w:pStyle w:val="Heading31"/>
        <w:tabs>
          <w:tab w:val="clear" w:pos="9360"/>
          <w:tab w:val="right" w:leader="dot" w:pos="10080"/>
        </w:tabs>
      </w:pPr>
    </w:p>
    <w:p w:rsidR="0035660E" w:rsidRPr="00CF3154" w:rsidRDefault="0035660E" w:rsidP="003A4C12">
      <w:pPr>
        <w:pStyle w:val="Heading31"/>
        <w:tabs>
          <w:tab w:val="clear" w:pos="9360"/>
          <w:tab w:val="right" w:leader="dot" w:pos="10080"/>
        </w:tabs>
      </w:pPr>
      <w:r w:rsidRPr="00CF3154">
        <w:t>Public Comment</w:t>
      </w:r>
    </w:p>
    <w:p w:rsidR="0035660E" w:rsidRPr="00CF3154" w:rsidRDefault="0035660E" w:rsidP="003A4C12">
      <w:pPr>
        <w:tabs>
          <w:tab w:val="left" w:pos="720"/>
          <w:tab w:val="left" w:pos="1584"/>
          <w:tab w:val="right" w:leader="dot" w:pos="9360"/>
        </w:tabs>
      </w:pPr>
    </w:p>
    <w:p w:rsidR="0035660E" w:rsidRPr="00CF3154" w:rsidRDefault="0035660E" w:rsidP="003A4C12">
      <w:pPr>
        <w:pStyle w:val="Heading31"/>
      </w:pPr>
      <w:r w:rsidRPr="00CF3154">
        <w:t>Introductions</w:t>
      </w:r>
    </w:p>
    <w:p w:rsidR="0035660E" w:rsidRPr="00CF3154" w:rsidRDefault="0035660E" w:rsidP="003A4C12">
      <w:pPr>
        <w:tabs>
          <w:tab w:val="left" w:pos="720"/>
          <w:tab w:val="left" w:pos="1584"/>
          <w:tab w:val="right" w:leader="dot" w:pos="9360"/>
        </w:tabs>
      </w:pPr>
    </w:p>
    <w:p w:rsidR="0035660E" w:rsidRPr="00CF3154" w:rsidRDefault="0035660E" w:rsidP="003A4C12">
      <w:pPr>
        <w:pStyle w:val="Heading31"/>
      </w:pPr>
      <w:r w:rsidRPr="00CF3154">
        <w:t xml:space="preserve">Approval of </w:t>
      </w:r>
      <w:r w:rsidR="00D158D2">
        <w:t>October 14</w:t>
      </w:r>
      <w:r w:rsidR="00AF7313" w:rsidRPr="00CF3154">
        <w:t>, 2021</w:t>
      </w:r>
      <w:r w:rsidRPr="00CF3154">
        <w:t xml:space="preserve"> Minutes</w:t>
      </w:r>
    </w:p>
    <w:p w:rsidR="00515803" w:rsidRDefault="00515803" w:rsidP="008D22C0">
      <w:pPr>
        <w:pStyle w:val="BodyText"/>
        <w:tabs>
          <w:tab w:val="left" w:leader="dot" w:pos="7380"/>
        </w:tabs>
        <w:rPr>
          <w:sz w:val="24"/>
          <w:szCs w:val="24"/>
        </w:rPr>
      </w:pPr>
    </w:p>
    <w:p w:rsidR="002A4AFF" w:rsidRPr="00CF3154" w:rsidRDefault="002A4AFF" w:rsidP="002A4AFF">
      <w:pPr>
        <w:pStyle w:val="Heading31"/>
        <w:tabs>
          <w:tab w:val="clear" w:pos="9360"/>
          <w:tab w:val="right" w:leader="dot" w:pos="10080"/>
        </w:tabs>
      </w:pPr>
      <w:r>
        <w:t>Vulnerability to COVID-19</w:t>
      </w:r>
      <w:r w:rsidR="00FF4672">
        <w:t xml:space="preserve"> Impact</w:t>
      </w:r>
      <w:r>
        <w:tab/>
      </w:r>
      <w:r>
        <w:rPr>
          <w:color w:val="000000"/>
        </w:rPr>
        <w:t>Kathryn Crespin, Analyst</w:t>
      </w:r>
    </w:p>
    <w:p w:rsidR="002A4AFF" w:rsidRDefault="002A4AFF" w:rsidP="002A4AFF">
      <w:pPr>
        <w:pStyle w:val="BodyText"/>
        <w:tabs>
          <w:tab w:val="left" w:leader="dot" w:pos="81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Research and Policy</w:t>
      </w:r>
      <w:r w:rsidRPr="00FD03C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D03C9">
        <w:rPr>
          <w:sz w:val="24"/>
          <w:szCs w:val="24"/>
        </w:rPr>
        <w:t>Demographics Research Group, Weldon Cooper Center, UVA</w:t>
      </w:r>
    </w:p>
    <w:p w:rsidR="00D158D2" w:rsidRDefault="00D158D2" w:rsidP="002A4AFF">
      <w:pPr>
        <w:pStyle w:val="BodyText"/>
        <w:tabs>
          <w:tab w:val="left" w:leader="dot" w:pos="8100"/>
        </w:tabs>
        <w:jc w:val="right"/>
        <w:rPr>
          <w:sz w:val="24"/>
          <w:szCs w:val="24"/>
        </w:rPr>
      </w:pPr>
    </w:p>
    <w:p w:rsidR="00D158D2" w:rsidRDefault="00D158D2" w:rsidP="00D158D2">
      <w:pPr>
        <w:pStyle w:val="Heading31"/>
        <w:tabs>
          <w:tab w:val="clear" w:pos="9360"/>
          <w:tab w:val="right" w:leader="dot" w:pos="10080"/>
        </w:tabs>
        <w:rPr>
          <w:color w:val="000000"/>
        </w:rPr>
      </w:pPr>
      <w:r>
        <w:t>Work-Based Learning Update</w:t>
      </w:r>
      <w:r>
        <w:tab/>
      </w:r>
      <w:r>
        <w:rPr>
          <w:color w:val="000000"/>
        </w:rPr>
        <w:t xml:space="preserve">Sharon Acuff, </w:t>
      </w:r>
      <w:r w:rsidR="00521F40">
        <w:rPr>
          <w:color w:val="000000"/>
        </w:rPr>
        <w:t xml:space="preserve">VDOE </w:t>
      </w:r>
      <w:r>
        <w:rPr>
          <w:color w:val="000000"/>
        </w:rPr>
        <w:t>WBL Coordinator</w:t>
      </w:r>
    </w:p>
    <w:p w:rsidR="00FF4672" w:rsidRDefault="00FF4672" w:rsidP="00FF4672">
      <w:pPr>
        <w:pStyle w:val="Heading31"/>
        <w:tabs>
          <w:tab w:val="clear" w:pos="9360"/>
          <w:tab w:val="right" w:leader="dot" w:pos="10080"/>
        </w:tabs>
        <w:jc w:val="right"/>
      </w:pPr>
    </w:p>
    <w:p w:rsidR="00FF4672" w:rsidRDefault="00FF4672" w:rsidP="00FF4672">
      <w:pPr>
        <w:pStyle w:val="Heading31"/>
        <w:tabs>
          <w:tab w:val="clear" w:pos="9360"/>
          <w:tab w:val="right" w:leader="dot" w:pos="10080"/>
        </w:tabs>
        <w:jc w:val="right"/>
      </w:pPr>
      <w:r>
        <w:t xml:space="preserve">Nikki Finley, </w:t>
      </w:r>
      <w:r w:rsidR="00521F40">
        <w:t xml:space="preserve">VDOE </w:t>
      </w:r>
      <w:r>
        <w:t>WBL Specialist</w:t>
      </w:r>
    </w:p>
    <w:p w:rsidR="00FF4672" w:rsidRDefault="00FF4672" w:rsidP="00FF4672">
      <w:pPr>
        <w:pStyle w:val="Heading31"/>
        <w:tabs>
          <w:tab w:val="clear" w:pos="9360"/>
          <w:tab w:val="right" w:leader="dot" w:pos="10080"/>
        </w:tabs>
        <w:jc w:val="right"/>
      </w:pPr>
    </w:p>
    <w:p w:rsidR="00FF4672" w:rsidRDefault="00FF4672" w:rsidP="00FF4672">
      <w:pPr>
        <w:pStyle w:val="Heading31"/>
        <w:tabs>
          <w:tab w:val="clear" w:pos="9360"/>
          <w:tab w:val="right" w:leader="dot" w:pos="10080"/>
        </w:tabs>
        <w:jc w:val="right"/>
      </w:pPr>
      <w:r>
        <w:t xml:space="preserve">Erika Temple, </w:t>
      </w:r>
      <w:r w:rsidR="00521F40">
        <w:t xml:space="preserve">VDOE </w:t>
      </w:r>
      <w:r>
        <w:t>WBL Specialist</w:t>
      </w:r>
    </w:p>
    <w:p w:rsidR="00FF4672" w:rsidRDefault="00FF4672" w:rsidP="00DA0F19">
      <w:pPr>
        <w:tabs>
          <w:tab w:val="left" w:pos="720"/>
          <w:tab w:val="right" w:pos="9360"/>
        </w:tabs>
      </w:pPr>
    </w:p>
    <w:p w:rsidR="00D158D2" w:rsidRPr="00CF3154" w:rsidRDefault="00D158D2" w:rsidP="00D158D2">
      <w:pPr>
        <w:pStyle w:val="Heading31"/>
        <w:tabs>
          <w:tab w:val="clear" w:pos="9360"/>
          <w:tab w:val="right" w:leader="dot" w:pos="10080"/>
        </w:tabs>
      </w:pPr>
      <w:r w:rsidRPr="00A073B0">
        <w:t>Mar</w:t>
      </w:r>
      <w:r>
        <w:t>itime R</w:t>
      </w:r>
      <w:r w:rsidRPr="00A073B0">
        <w:t>eport</w:t>
      </w:r>
      <w:r>
        <w:tab/>
        <w:t xml:space="preserve">Dr. </w:t>
      </w:r>
      <w:proofErr w:type="spellStart"/>
      <w:r>
        <w:t>Sukeena</w:t>
      </w:r>
      <w:proofErr w:type="spellEnd"/>
      <w:r>
        <w:t xml:space="preserve"> Stephens</w:t>
      </w:r>
    </w:p>
    <w:p w:rsidR="00D158D2" w:rsidRDefault="00D158D2" w:rsidP="00D158D2">
      <w:pPr>
        <w:tabs>
          <w:tab w:val="left" w:pos="720"/>
          <w:tab w:val="right" w:pos="9360"/>
        </w:tabs>
      </w:pPr>
    </w:p>
    <w:p w:rsidR="00D158D2" w:rsidRPr="00CF3154" w:rsidRDefault="00D158D2" w:rsidP="00D158D2">
      <w:pPr>
        <w:pStyle w:val="Heading31"/>
        <w:tabs>
          <w:tab w:val="clear" w:pos="9360"/>
          <w:tab w:val="right" w:leader="dot" w:pos="10080"/>
        </w:tabs>
      </w:pPr>
      <w:r>
        <w:t>The Marketing of CTE including CTE Month</w:t>
      </w:r>
      <w:r>
        <w:tab/>
        <w:t xml:space="preserve">Dr. </w:t>
      </w:r>
      <w:proofErr w:type="spellStart"/>
      <w:r>
        <w:t>Sukeena</w:t>
      </w:r>
      <w:proofErr w:type="spellEnd"/>
      <w:r>
        <w:t xml:space="preserve"> Stephens</w:t>
      </w:r>
    </w:p>
    <w:p w:rsidR="00D158D2" w:rsidRDefault="00D158D2" w:rsidP="00D158D2">
      <w:pPr>
        <w:tabs>
          <w:tab w:val="left" w:pos="720"/>
          <w:tab w:val="right" w:pos="9360"/>
        </w:tabs>
      </w:pPr>
    </w:p>
    <w:p w:rsidR="00986B2B" w:rsidRPr="00CF3154" w:rsidRDefault="00986B2B" w:rsidP="00D158D2">
      <w:pPr>
        <w:pStyle w:val="BodyText"/>
        <w:tabs>
          <w:tab w:val="left" w:leader="dot" w:pos="6930"/>
        </w:tabs>
        <w:rPr>
          <w:sz w:val="24"/>
          <w:szCs w:val="24"/>
        </w:rPr>
      </w:pPr>
      <w:r w:rsidRPr="00CF3154">
        <w:rPr>
          <w:sz w:val="24"/>
          <w:szCs w:val="24"/>
        </w:rPr>
        <w:t>Department of Education Update</w:t>
      </w:r>
      <w:r w:rsidRPr="00CF3154">
        <w:rPr>
          <w:sz w:val="24"/>
          <w:szCs w:val="24"/>
        </w:rPr>
        <w:tab/>
      </w:r>
      <w:r w:rsidR="00D158D2">
        <w:rPr>
          <w:sz w:val="24"/>
          <w:szCs w:val="24"/>
        </w:rPr>
        <w:t xml:space="preserve"> </w:t>
      </w:r>
      <w:r w:rsidR="00D158D2">
        <w:rPr>
          <w:color w:val="000000"/>
          <w:sz w:val="24"/>
          <w:szCs w:val="24"/>
        </w:rPr>
        <w:t>Dr. David Eshelman, Director</w:t>
      </w:r>
    </w:p>
    <w:p w:rsidR="00986B2B" w:rsidRPr="00FD03C9" w:rsidRDefault="00D158D2" w:rsidP="00986B2B">
      <w:pPr>
        <w:pStyle w:val="BodyText"/>
        <w:tabs>
          <w:tab w:val="left" w:leader="dot" w:pos="81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Workforce Development and Initiatives</w:t>
      </w:r>
    </w:p>
    <w:p w:rsidR="00DA0F19" w:rsidRDefault="00DA0F19" w:rsidP="00D158D2">
      <w:pPr>
        <w:pStyle w:val="BodyText"/>
        <w:tabs>
          <w:tab w:val="left" w:pos="6930"/>
        </w:tabs>
        <w:rPr>
          <w:sz w:val="24"/>
          <w:szCs w:val="24"/>
        </w:rPr>
      </w:pPr>
    </w:p>
    <w:p w:rsidR="005C1B03" w:rsidRPr="00FD03C9" w:rsidRDefault="005C1B03" w:rsidP="00FD03C9">
      <w:pPr>
        <w:pStyle w:val="BodyText"/>
        <w:tabs>
          <w:tab w:val="left" w:leader="dot" w:pos="7920"/>
        </w:tabs>
        <w:rPr>
          <w:sz w:val="24"/>
          <w:szCs w:val="24"/>
        </w:rPr>
      </w:pPr>
      <w:r w:rsidRPr="00FD03C9">
        <w:rPr>
          <w:sz w:val="24"/>
          <w:szCs w:val="24"/>
        </w:rPr>
        <w:t>Advisory Committee</w:t>
      </w:r>
      <w:r w:rsidRPr="00FD03C9">
        <w:rPr>
          <w:spacing w:val="-7"/>
          <w:sz w:val="24"/>
          <w:szCs w:val="24"/>
        </w:rPr>
        <w:t xml:space="preserve"> </w:t>
      </w:r>
      <w:r w:rsidR="003A2EC3" w:rsidRPr="00FD03C9">
        <w:rPr>
          <w:sz w:val="24"/>
          <w:szCs w:val="24"/>
        </w:rPr>
        <w:t>Member Roundtable</w:t>
      </w:r>
      <w:r w:rsidR="003A2EC3" w:rsidRPr="00FD03C9">
        <w:rPr>
          <w:sz w:val="24"/>
          <w:szCs w:val="24"/>
        </w:rPr>
        <w:tab/>
      </w:r>
      <w:r w:rsidRPr="00FD03C9">
        <w:rPr>
          <w:sz w:val="24"/>
          <w:szCs w:val="24"/>
        </w:rPr>
        <w:t>Individual</w:t>
      </w:r>
      <w:r w:rsidRPr="00FD03C9">
        <w:rPr>
          <w:spacing w:val="5"/>
          <w:sz w:val="24"/>
          <w:szCs w:val="24"/>
        </w:rPr>
        <w:t xml:space="preserve"> </w:t>
      </w:r>
      <w:r w:rsidRPr="00FD03C9">
        <w:rPr>
          <w:spacing w:val="-3"/>
          <w:sz w:val="24"/>
          <w:szCs w:val="24"/>
        </w:rPr>
        <w:t>Members</w:t>
      </w:r>
    </w:p>
    <w:p w:rsidR="00DA0F19" w:rsidRDefault="00DA0F19" w:rsidP="00FD03C9">
      <w:pPr>
        <w:pStyle w:val="BodyText"/>
        <w:tabs>
          <w:tab w:val="left" w:leader="dot" w:pos="5580"/>
          <w:tab w:val="left" w:leader="dot" w:pos="5850"/>
          <w:tab w:val="left" w:pos="5940"/>
        </w:tabs>
        <w:rPr>
          <w:sz w:val="24"/>
          <w:szCs w:val="24"/>
        </w:rPr>
      </w:pPr>
    </w:p>
    <w:p w:rsidR="0035660E" w:rsidRPr="00FD03C9" w:rsidRDefault="0035660E" w:rsidP="00562528">
      <w:pPr>
        <w:pStyle w:val="BodyText"/>
        <w:tabs>
          <w:tab w:val="left" w:leader="dot" w:pos="6300"/>
          <w:tab w:val="left" w:leader="dot" w:pos="9900"/>
        </w:tabs>
        <w:rPr>
          <w:sz w:val="24"/>
          <w:szCs w:val="24"/>
        </w:rPr>
      </w:pPr>
      <w:r w:rsidRPr="00FD03C9">
        <w:rPr>
          <w:sz w:val="24"/>
          <w:szCs w:val="24"/>
        </w:rPr>
        <w:t>Virginia</w:t>
      </w:r>
      <w:r w:rsidRPr="00FD03C9">
        <w:rPr>
          <w:spacing w:val="-3"/>
          <w:sz w:val="24"/>
          <w:szCs w:val="24"/>
        </w:rPr>
        <w:t xml:space="preserve"> </w:t>
      </w:r>
      <w:r w:rsidR="00562528">
        <w:rPr>
          <w:sz w:val="24"/>
          <w:szCs w:val="24"/>
        </w:rPr>
        <w:t>ACTE</w:t>
      </w:r>
      <w:r w:rsidR="00562528">
        <w:rPr>
          <w:sz w:val="24"/>
          <w:szCs w:val="24"/>
        </w:rPr>
        <w:tab/>
        <w:t>Darla Miller</w:t>
      </w:r>
      <w:r w:rsidRPr="00FD03C9">
        <w:rPr>
          <w:sz w:val="24"/>
          <w:szCs w:val="24"/>
        </w:rPr>
        <w:t>, Virginia ACTE</w:t>
      </w:r>
      <w:r w:rsidRPr="00FD03C9">
        <w:rPr>
          <w:spacing w:val="-13"/>
          <w:sz w:val="24"/>
          <w:szCs w:val="24"/>
        </w:rPr>
        <w:t xml:space="preserve"> </w:t>
      </w:r>
      <w:r w:rsidRPr="00FD03C9">
        <w:rPr>
          <w:sz w:val="24"/>
          <w:szCs w:val="24"/>
        </w:rPr>
        <w:t>Liaison</w:t>
      </w:r>
    </w:p>
    <w:p w:rsidR="0035660E" w:rsidRPr="00FD03C9" w:rsidRDefault="0035660E" w:rsidP="003A4C12">
      <w:pPr>
        <w:pStyle w:val="BodyText"/>
        <w:rPr>
          <w:sz w:val="24"/>
          <w:szCs w:val="24"/>
        </w:rPr>
      </w:pPr>
    </w:p>
    <w:p w:rsidR="0035660E" w:rsidRPr="00FD03C9" w:rsidRDefault="0035660E" w:rsidP="003A4C12">
      <w:pPr>
        <w:rPr>
          <w:i/>
        </w:rPr>
      </w:pPr>
      <w:r w:rsidRPr="00FD03C9">
        <w:rPr>
          <w:i/>
        </w:rPr>
        <w:t>Breaks as needed</w:t>
      </w:r>
    </w:p>
    <w:p w:rsidR="0035660E" w:rsidRPr="00FD03C9" w:rsidRDefault="0035660E" w:rsidP="003A4C12">
      <w:pPr>
        <w:pStyle w:val="BodyText"/>
        <w:rPr>
          <w:i/>
          <w:sz w:val="24"/>
          <w:szCs w:val="24"/>
        </w:rPr>
      </w:pPr>
    </w:p>
    <w:p w:rsidR="0035660E" w:rsidRPr="00FD03C9" w:rsidRDefault="00DA0F19" w:rsidP="003A4C1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1</w:t>
      </w:r>
      <w:r w:rsidR="0035660E" w:rsidRPr="00FD03C9">
        <w:rPr>
          <w:sz w:val="24"/>
          <w:szCs w:val="24"/>
        </w:rPr>
        <w:t>p.m. Adjourn</w:t>
      </w:r>
    </w:p>
    <w:p w:rsidR="003A4C12" w:rsidRPr="00FD03C9" w:rsidRDefault="003A4C12" w:rsidP="003A4C12">
      <w:pPr>
        <w:pStyle w:val="Heading31"/>
        <w:rPr>
          <w:rStyle w:val="Heading3Char"/>
          <w:b w:val="0"/>
          <w:sz w:val="24"/>
          <w:szCs w:val="24"/>
        </w:rPr>
      </w:pPr>
    </w:p>
    <w:p w:rsidR="00C97933" w:rsidRPr="00FD03C9" w:rsidRDefault="003A4C12" w:rsidP="003A4C12">
      <w:pPr>
        <w:pStyle w:val="Heading31"/>
      </w:pPr>
      <w:r w:rsidRPr="00FD03C9">
        <w:rPr>
          <w:rStyle w:val="Heading3Char"/>
          <w:b w:val="0"/>
          <w:sz w:val="24"/>
          <w:szCs w:val="24"/>
        </w:rPr>
        <w:t>Next Meeting</w:t>
      </w:r>
      <w:r w:rsidR="00DA0F19">
        <w:t xml:space="preserve">, </w:t>
      </w:r>
      <w:r w:rsidR="00562528">
        <w:t>April</w:t>
      </w:r>
      <w:r w:rsidR="00562528">
        <w:rPr>
          <w:szCs w:val="22"/>
        </w:rPr>
        <w:t xml:space="preserve"> 14, 2022, (</w:t>
      </w:r>
      <w:r w:rsidR="00562528" w:rsidRPr="00B9042B">
        <w:rPr>
          <w:sz w:val="22"/>
          <w:szCs w:val="22"/>
        </w:rPr>
        <w:t xml:space="preserve">9 a.m. to </w:t>
      </w:r>
      <w:r w:rsidR="00562528">
        <w:rPr>
          <w:sz w:val="22"/>
          <w:szCs w:val="22"/>
        </w:rPr>
        <w:t>12</w:t>
      </w:r>
      <w:r w:rsidR="00562528" w:rsidRPr="00B9042B">
        <w:rPr>
          <w:sz w:val="22"/>
          <w:szCs w:val="22"/>
        </w:rPr>
        <w:t xml:space="preserve"> p.m</w:t>
      </w:r>
      <w:r w:rsidR="00562528">
        <w:rPr>
          <w:szCs w:val="22"/>
        </w:rPr>
        <w:t>.</w:t>
      </w:r>
      <w:r w:rsidR="00562528" w:rsidRPr="005F5C46">
        <w:rPr>
          <w:szCs w:val="22"/>
        </w:rPr>
        <w:t>)</w:t>
      </w:r>
      <w:r w:rsidR="00562528">
        <w:rPr>
          <w:color w:val="000000"/>
        </w:rPr>
        <w:t>.</w:t>
      </w:r>
    </w:p>
    <w:sectPr w:rsidR="00C97933" w:rsidRPr="00FD03C9" w:rsidSect="00EA2569">
      <w:pgSz w:w="12240" w:h="15840"/>
      <w:pgMar w:top="900" w:right="117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0E"/>
    <w:rsid w:val="0002554E"/>
    <w:rsid w:val="00061E37"/>
    <w:rsid w:val="000D6F69"/>
    <w:rsid w:val="00152E40"/>
    <w:rsid w:val="00156C83"/>
    <w:rsid w:val="00276DB0"/>
    <w:rsid w:val="00281973"/>
    <w:rsid w:val="002A4AFF"/>
    <w:rsid w:val="0035660E"/>
    <w:rsid w:val="003A2EC3"/>
    <w:rsid w:val="003A4C12"/>
    <w:rsid w:val="004B0597"/>
    <w:rsid w:val="004D58F4"/>
    <w:rsid w:val="00515803"/>
    <w:rsid w:val="00521F40"/>
    <w:rsid w:val="00562528"/>
    <w:rsid w:val="005C1B03"/>
    <w:rsid w:val="00645394"/>
    <w:rsid w:val="007006D0"/>
    <w:rsid w:val="007A570D"/>
    <w:rsid w:val="007B5260"/>
    <w:rsid w:val="008D22C0"/>
    <w:rsid w:val="00926816"/>
    <w:rsid w:val="00942041"/>
    <w:rsid w:val="00986B2B"/>
    <w:rsid w:val="009D29D0"/>
    <w:rsid w:val="00A105D2"/>
    <w:rsid w:val="00A41540"/>
    <w:rsid w:val="00A84E00"/>
    <w:rsid w:val="00AF7313"/>
    <w:rsid w:val="00B00435"/>
    <w:rsid w:val="00B570EA"/>
    <w:rsid w:val="00B614A1"/>
    <w:rsid w:val="00B8567F"/>
    <w:rsid w:val="00C15327"/>
    <w:rsid w:val="00C26783"/>
    <w:rsid w:val="00C40B19"/>
    <w:rsid w:val="00C97933"/>
    <w:rsid w:val="00CF3154"/>
    <w:rsid w:val="00D158D2"/>
    <w:rsid w:val="00DA0F19"/>
    <w:rsid w:val="00DA54A9"/>
    <w:rsid w:val="00E37F10"/>
    <w:rsid w:val="00EA2569"/>
    <w:rsid w:val="00FA41A0"/>
    <w:rsid w:val="00FA4EF4"/>
    <w:rsid w:val="00FD03C9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AD997-7DFC-4039-9EF3-22648126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6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66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6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66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rsid w:val="003566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660E"/>
    <w:pPr>
      <w:spacing w:before="100" w:beforeAutospacing="1" w:after="100" w:afterAutospacing="1"/>
    </w:pPr>
  </w:style>
  <w:style w:type="paragraph" w:customStyle="1" w:styleId="Heading31">
    <w:name w:val="Heading 31"/>
    <w:basedOn w:val="Normal"/>
    <w:qFormat/>
    <w:rsid w:val="0035660E"/>
    <w:pPr>
      <w:tabs>
        <w:tab w:val="left" w:pos="720"/>
        <w:tab w:val="left" w:pos="1584"/>
        <w:tab w:val="right" w:leader="dot" w:pos="9360"/>
      </w:tabs>
    </w:pPr>
  </w:style>
  <w:style w:type="paragraph" w:customStyle="1" w:styleId="Heading21">
    <w:name w:val="Heading 21"/>
    <w:basedOn w:val="Heading1"/>
    <w:qFormat/>
    <w:rsid w:val="0035660E"/>
    <w:pPr>
      <w:spacing w:before="0"/>
      <w:jc w:val="center"/>
    </w:pPr>
    <w:rPr>
      <w:rFonts w:ascii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660E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660E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3A4C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4C1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channel/UCrbxl9wHScrWKWIEoUWNIfQ/videos" TargetMode="External"/><Relationship Id="rId4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Advisory Agenda</vt:lpstr>
    </vt:vector>
  </TitlesOfParts>
  <Company>Virginia IT Infrastructure Partnership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Advisory Agenda</dc:title>
  <dc:subject/>
  <dc:creator>VITA Program</dc:creator>
  <cp:keywords/>
  <dc:description/>
  <cp:lastModifiedBy>Acuff, Sharon (DOE)</cp:lastModifiedBy>
  <cp:revision>2</cp:revision>
  <dcterms:created xsi:type="dcterms:W3CDTF">2021-11-29T12:46:00Z</dcterms:created>
  <dcterms:modified xsi:type="dcterms:W3CDTF">2021-11-29T12:46:00Z</dcterms:modified>
</cp:coreProperties>
</file>