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4C34" w14:textId="77777777" w:rsidR="006A4FD4" w:rsidRPr="00EF1C4C" w:rsidRDefault="006A4FD4" w:rsidP="006A4FD4">
      <w:pPr>
        <w:pStyle w:val="Title"/>
      </w:pPr>
      <w:r w:rsidRPr="00EF1C4C">
        <w:t>Just In Time Quick Check</w:t>
      </w:r>
    </w:p>
    <w:p w14:paraId="50329FA9" w14:textId="6C1BF177" w:rsidR="006A4FD4" w:rsidRPr="00DD1F41" w:rsidRDefault="00F77F5D" w:rsidP="00DD1F41">
      <w:pPr>
        <w:pStyle w:val="Title"/>
        <w:spacing w:after="120"/>
      </w:pPr>
      <w:hyperlink r:id="rId7" w:history="1">
        <w:r w:rsidR="006A4FD4" w:rsidRPr="00F77F5D">
          <w:rPr>
            <w:rStyle w:val="Hyperlink"/>
          </w:rPr>
          <w:t xml:space="preserve">Standard of Learning (SOL) </w:t>
        </w:r>
        <w:r w:rsidR="00D72F0D" w:rsidRPr="00F77F5D">
          <w:rPr>
            <w:rStyle w:val="Hyperlink"/>
          </w:rPr>
          <w:t>6.9</w:t>
        </w:r>
      </w:hyperlink>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6A4FD4" w14:paraId="19BE6B3D" w14:textId="77777777" w:rsidTr="00556F9D">
        <w:trPr>
          <w:tblHeader/>
        </w:trPr>
        <w:tc>
          <w:tcPr>
            <w:tcW w:w="9350" w:type="dxa"/>
          </w:tcPr>
          <w:p w14:paraId="4123E96A" w14:textId="03D9F814" w:rsidR="006A4FD4" w:rsidRDefault="006A4FD4" w:rsidP="00147922">
            <w:pPr>
              <w:spacing w:before="120" w:after="120"/>
              <w:jc w:val="center"/>
              <w:rPr>
                <w:i/>
                <w:sz w:val="28"/>
                <w:szCs w:val="28"/>
              </w:rPr>
            </w:pPr>
            <w:r w:rsidRPr="00EF1C4C">
              <w:rPr>
                <w:rStyle w:val="TitleChar"/>
              </w:rPr>
              <w:t>Strand:</w:t>
            </w:r>
            <w:r>
              <w:rPr>
                <w:b/>
                <w:sz w:val="28"/>
                <w:szCs w:val="28"/>
              </w:rPr>
              <w:t xml:space="preserve"> </w:t>
            </w:r>
            <w:r w:rsidR="00D72F0D">
              <w:rPr>
                <w:sz w:val="28"/>
                <w:szCs w:val="28"/>
              </w:rPr>
              <w:t>Measurement and Geometry</w:t>
            </w:r>
          </w:p>
        </w:tc>
      </w:tr>
      <w:tr w:rsidR="006A4FD4" w14:paraId="587BA410" w14:textId="77777777" w:rsidTr="00556F9D">
        <w:tc>
          <w:tcPr>
            <w:tcW w:w="9350" w:type="dxa"/>
            <w:shd w:val="clear" w:color="auto" w:fill="D9D9D9"/>
          </w:tcPr>
          <w:p w14:paraId="3924D3EF" w14:textId="1C2DD08C" w:rsidR="006A4FD4" w:rsidRPr="00AD160F" w:rsidRDefault="006A4FD4" w:rsidP="00556F9D">
            <w:pPr>
              <w:pStyle w:val="Heading1"/>
              <w:spacing w:before="120"/>
            </w:pPr>
            <w:r w:rsidRPr="00AD160F">
              <w:t xml:space="preserve">Standard of Learning (SOL) </w:t>
            </w:r>
            <w:r w:rsidR="00D72F0D">
              <w:t>6.9</w:t>
            </w:r>
          </w:p>
          <w:p w14:paraId="2EA7051B" w14:textId="77148D4B" w:rsidR="00556F9D" w:rsidRPr="00556F9D" w:rsidRDefault="00D72F0D" w:rsidP="00556F9D">
            <w:pPr>
              <w:spacing w:after="120"/>
            </w:pPr>
            <w:r w:rsidRPr="00556F9D">
              <w:rPr>
                <w:b/>
                <w:i/>
              </w:rPr>
              <w:t>The student will determine congruence of segments, angles and polygons</w:t>
            </w:r>
            <w:r>
              <w:t>.</w:t>
            </w:r>
          </w:p>
        </w:tc>
      </w:tr>
      <w:tr w:rsidR="006A4FD4" w14:paraId="582DCA8E" w14:textId="77777777" w:rsidTr="00556F9D">
        <w:tc>
          <w:tcPr>
            <w:tcW w:w="9350" w:type="dxa"/>
            <w:shd w:val="clear" w:color="auto" w:fill="F2F2F2"/>
          </w:tcPr>
          <w:p w14:paraId="1A51F00D" w14:textId="77777777" w:rsidR="006A4FD4" w:rsidRDefault="006A4FD4" w:rsidP="00556F9D">
            <w:pPr>
              <w:pStyle w:val="Heading1"/>
              <w:spacing w:before="120"/>
            </w:pPr>
            <w:r>
              <w:t xml:space="preserve">Grade Level Skills:  </w:t>
            </w:r>
          </w:p>
          <w:p w14:paraId="332F7BF0" w14:textId="77777777" w:rsidR="00D72F0D" w:rsidRPr="00D72F0D" w:rsidRDefault="00D72F0D" w:rsidP="00556F9D">
            <w:pPr>
              <w:pStyle w:val="Bullet1"/>
              <w:numPr>
                <w:ilvl w:val="0"/>
                <w:numId w:val="3"/>
              </w:numPr>
              <w:spacing w:before="0"/>
              <w:rPr>
                <w:rFonts w:asciiTheme="minorHAnsi" w:hAnsiTheme="minorHAnsi"/>
                <w:sz w:val="22"/>
                <w:szCs w:val="22"/>
              </w:rPr>
            </w:pPr>
            <w:r w:rsidRPr="00D72F0D">
              <w:rPr>
                <w:rFonts w:asciiTheme="minorHAnsi" w:hAnsiTheme="minorHAnsi"/>
                <w:sz w:val="22"/>
                <w:szCs w:val="22"/>
              </w:rPr>
              <w:t>Identify regular polygons.</w:t>
            </w:r>
          </w:p>
          <w:p w14:paraId="3FB26966" w14:textId="77777777" w:rsidR="00D72F0D" w:rsidRPr="00D72F0D" w:rsidRDefault="00D72F0D" w:rsidP="00556F9D">
            <w:pPr>
              <w:pStyle w:val="Bullet1"/>
              <w:numPr>
                <w:ilvl w:val="0"/>
                <w:numId w:val="3"/>
              </w:numPr>
              <w:spacing w:before="0"/>
              <w:rPr>
                <w:rFonts w:asciiTheme="minorHAnsi" w:hAnsiTheme="minorHAnsi"/>
                <w:sz w:val="22"/>
                <w:szCs w:val="22"/>
              </w:rPr>
            </w:pPr>
            <w:r w:rsidRPr="00D72F0D">
              <w:rPr>
                <w:rFonts w:asciiTheme="minorHAnsi" w:hAnsiTheme="minorHAnsi"/>
                <w:sz w:val="22"/>
                <w:szCs w:val="22"/>
              </w:rPr>
              <w:t>Draw lines of symmetry to divide regular polygons into two congruent parts.</w:t>
            </w:r>
          </w:p>
          <w:p w14:paraId="3A824546" w14:textId="77777777" w:rsidR="00D72F0D" w:rsidRPr="00D72F0D" w:rsidRDefault="00D72F0D" w:rsidP="00556F9D">
            <w:pPr>
              <w:pStyle w:val="Bullet1"/>
              <w:keepLines/>
              <w:numPr>
                <w:ilvl w:val="0"/>
                <w:numId w:val="3"/>
              </w:numPr>
              <w:spacing w:before="0"/>
              <w:rPr>
                <w:rFonts w:asciiTheme="minorHAnsi" w:hAnsiTheme="minorHAnsi"/>
                <w:sz w:val="22"/>
                <w:szCs w:val="22"/>
              </w:rPr>
            </w:pPr>
            <w:r w:rsidRPr="00D72F0D">
              <w:rPr>
                <w:rFonts w:asciiTheme="minorHAnsi" w:hAnsiTheme="minorHAnsi"/>
                <w:sz w:val="22"/>
                <w:szCs w:val="22"/>
              </w:rPr>
              <w:t xml:space="preserve">Determine the congruence of segments, angles, and polygons given their properties. </w:t>
            </w:r>
          </w:p>
          <w:p w14:paraId="5472EE53" w14:textId="3A776A16" w:rsidR="006A4FD4" w:rsidRPr="00D72F0D" w:rsidRDefault="00D72F0D" w:rsidP="00556F9D">
            <w:pPr>
              <w:pStyle w:val="Bullet1"/>
              <w:keepLines/>
              <w:numPr>
                <w:ilvl w:val="0"/>
                <w:numId w:val="3"/>
              </w:numPr>
              <w:spacing w:before="0" w:after="120"/>
              <w:rPr>
                <w:rFonts w:asciiTheme="minorHAnsi" w:hAnsiTheme="minorHAnsi"/>
              </w:rPr>
            </w:pPr>
            <w:r w:rsidRPr="00D72F0D">
              <w:rPr>
                <w:rFonts w:asciiTheme="minorHAnsi" w:hAnsiTheme="minorHAnsi"/>
                <w:sz w:val="22"/>
                <w:szCs w:val="22"/>
              </w:rPr>
              <w:t>Determine whether polygons are congruent or noncongruent according to the measures of their sides and angles.</w:t>
            </w:r>
          </w:p>
        </w:tc>
      </w:tr>
      <w:tr w:rsidR="006A4FD4" w14:paraId="7B499DD5" w14:textId="77777777" w:rsidTr="00556F9D">
        <w:tc>
          <w:tcPr>
            <w:tcW w:w="9350" w:type="dxa"/>
          </w:tcPr>
          <w:p w14:paraId="4472984D" w14:textId="53E9DD12" w:rsidR="006A4FD4" w:rsidRPr="00556F9D" w:rsidRDefault="00F77F5D" w:rsidP="00556F9D">
            <w:pPr>
              <w:spacing w:before="120" w:after="120"/>
              <w:rPr>
                <w:b/>
                <w:sz w:val="28"/>
                <w:szCs w:val="28"/>
              </w:rPr>
            </w:pPr>
            <w:hyperlink w:anchor="bookmark=id.gjdgxs">
              <w:r w:rsidR="006A4FD4" w:rsidRPr="00556F9D">
                <w:rPr>
                  <w:b/>
                  <w:color w:val="0563C1"/>
                  <w:sz w:val="28"/>
                  <w:szCs w:val="28"/>
                  <w:u w:val="single"/>
                </w:rPr>
                <w:t>Just in Time Quick Check</w:t>
              </w:r>
            </w:hyperlink>
            <w:r w:rsidR="006A4FD4" w:rsidRPr="00556F9D">
              <w:rPr>
                <w:b/>
                <w:color w:val="0563C1"/>
                <w:sz w:val="28"/>
                <w:szCs w:val="28"/>
                <w:u w:val="single"/>
              </w:rPr>
              <w:t xml:space="preserve"> </w:t>
            </w:r>
          </w:p>
        </w:tc>
      </w:tr>
      <w:tr w:rsidR="006A4FD4" w14:paraId="685A545D" w14:textId="77777777" w:rsidTr="00556F9D">
        <w:tc>
          <w:tcPr>
            <w:tcW w:w="9350" w:type="dxa"/>
          </w:tcPr>
          <w:p w14:paraId="45D71C02" w14:textId="1900907A" w:rsidR="006A4FD4" w:rsidRPr="00556F9D" w:rsidRDefault="00F77F5D" w:rsidP="00556F9D">
            <w:pPr>
              <w:spacing w:before="120" w:after="120"/>
              <w:rPr>
                <w:b/>
                <w:sz w:val="28"/>
                <w:szCs w:val="28"/>
              </w:rPr>
            </w:pPr>
            <w:hyperlink w:anchor="teacher" w:history="1">
              <w:r w:rsidR="006A4FD4" w:rsidRPr="00147922">
                <w:rPr>
                  <w:rStyle w:val="Hyperlink"/>
                  <w:b/>
                  <w:sz w:val="28"/>
                  <w:szCs w:val="28"/>
                </w:rPr>
                <w:t>Just in Time Quick Check Teacher Notes</w:t>
              </w:r>
            </w:hyperlink>
          </w:p>
        </w:tc>
      </w:tr>
      <w:tr w:rsidR="006A4FD4" w14:paraId="18BA2E04" w14:textId="77777777" w:rsidTr="00556F9D">
        <w:tc>
          <w:tcPr>
            <w:tcW w:w="9350" w:type="dxa"/>
          </w:tcPr>
          <w:p w14:paraId="6C63533E" w14:textId="77777777" w:rsidR="006A4FD4" w:rsidRDefault="006A4FD4" w:rsidP="00556F9D">
            <w:pPr>
              <w:pStyle w:val="Heading1"/>
              <w:spacing w:before="120"/>
            </w:pPr>
            <w:r>
              <w:t xml:space="preserve">Supporting Resources: </w:t>
            </w:r>
          </w:p>
          <w:p w14:paraId="397D5B19" w14:textId="77777777" w:rsidR="006A4FD4" w:rsidRDefault="006A4FD4" w:rsidP="006A4FD4">
            <w:pPr>
              <w:numPr>
                <w:ilvl w:val="0"/>
                <w:numId w:val="2"/>
              </w:numPr>
              <w:pBdr>
                <w:top w:val="nil"/>
                <w:left w:val="nil"/>
                <w:bottom w:val="nil"/>
                <w:right w:val="nil"/>
                <w:between w:val="nil"/>
              </w:pBdr>
              <w:spacing w:after="0" w:line="240" w:lineRule="auto"/>
              <w:rPr>
                <w:color w:val="000000"/>
              </w:rPr>
            </w:pPr>
            <w:r>
              <w:rPr>
                <w:color w:val="000000"/>
              </w:rPr>
              <w:t>VDOE Mathematics Instructional Plans (MIPS)</w:t>
            </w:r>
          </w:p>
          <w:p w14:paraId="191CA560" w14:textId="6B895556" w:rsidR="006A4FD4" w:rsidRDefault="00F77F5D" w:rsidP="006A4FD4">
            <w:pPr>
              <w:numPr>
                <w:ilvl w:val="1"/>
                <w:numId w:val="2"/>
              </w:numPr>
              <w:pBdr>
                <w:top w:val="nil"/>
                <w:left w:val="nil"/>
                <w:bottom w:val="nil"/>
                <w:right w:val="nil"/>
                <w:between w:val="nil"/>
              </w:pBdr>
              <w:spacing w:after="0" w:line="240" w:lineRule="auto"/>
              <w:ind w:left="1060" w:firstLine="0"/>
              <w:rPr>
                <w:color w:val="000000"/>
              </w:rPr>
            </w:pPr>
            <w:hyperlink r:id="rId8" w:history="1">
              <w:r w:rsidR="00D72F0D" w:rsidRPr="00F77F5D">
                <w:rPr>
                  <w:rStyle w:val="Hyperlink"/>
                </w:rPr>
                <w:t>Side to Side</w:t>
              </w:r>
            </w:hyperlink>
            <w:r w:rsidR="00D72F0D">
              <w:rPr>
                <w:color w:val="000000"/>
              </w:rPr>
              <w:t xml:space="preserve"> (Word) / </w:t>
            </w:r>
            <w:hyperlink r:id="rId9" w:history="1">
              <w:r w:rsidR="00D72F0D" w:rsidRPr="00F77F5D">
                <w:rPr>
                  <w:rStyle w:val="Hyperlink"/>
                </w:rPr>
                <w:t>PDF</w:t>
              </w:r>
            </w:hyperlink>
          </w:p>
          <w:p w14:paraId="0751216F" w14:textId="77777777" w:rsidR="006A4FD4" w:rsidRDefault="006A4FD4" w:rsidP="006A4FD4">
            <w:pPr>
              <w:numPr>
                <w:ilvl w:val="0"/>
                <w:numId w:val="2"/>
              </w:numPr>
              <w:pBdr>
                <w:top w:val="nil"/>
                <w:left w:val="nil"/>
                <w:bottom w:val="nil"/>
                <w:right w:val="nil"/>
                <w:between w:val="nil"/>
              </w:pBdr>
              <w:spacing w:after="0" w:line="240" w:lineRule="auto"/>
              <w:rPr>
                <w:color w:val="000000"/>
              </w:rPr>
            </w:pPr>
            <w:r>
              <w:rPr>
                <w:color w:val="000000"/>
              </w:rPr>
              <w:t>VDOE Algebra Readiness Remediation Plans</w:t>
            </w:r>
          </w:p>
          <w:p w14:paraId="4E7C6322" w14:textId="4451AC0A" w:rsidR="006A4FD4" w:rsidRDefault="00F77F5D" w:rsidP="006A4FD4">
            <w:pPr>
              <w:numPr>
                <w:ilvl w:val="1"/>
                <w:numId w:val="2"/>
              </w:numPr>
              <w:pBdr>
                <w:top w:val="nil"/>
                <w:left w:val="nil"/>
                <w:bottom w:val="nil"/>
                <w:right w:val="nil"/>
                <w:between w:val="nil"/>
              </w:pBdr>
              <w:spacing w:after="0" w:line="240" w:lineRule="auto"/>
              <w:rPr>
                <w:color w:val="000000"/>
              </w:rPr>
            </w:pPr>
            <w:hyperlink r:id="rId10" w:history="1">
              <w:r w:rsidRPr="00F77F5D">
                <w:rPr>
                  <w:rStyle w:val="Hyperlink"/>
                </w:rPr>
                <w:t>Congruency</w:t>
              </w:r>
            </w:hyperlink>
            <w:r w:rsidR="00FE617C">
              <w:rPr>
                <w:color w:val="000000"/>
              </w:rPr>
              <w:t xml:space="preserve"> (Word) / </w:t>
            </w:r>
            <w:hyperlink r:id="rId11" w:history="1">
              <w:r w:rsidR="00FE617C" w:rsidRPr="00F77F5D">
                <w:rPr>
                  <w:rStyle w:val="Hyperlink"/>
                </w:rPr>
                <w:t>PDF</w:t>
              </w:r>
            </w:hyperlink>
          </w:p>
          <w:p w14:paraId="61345038" w14:textId="40C363EF" w:rsidR="00FE617C" w:rsidRDefault="00F77F5D" w:rsidP="006A4FD4">
            <w:pPr>
              <w:numPr>
                <w:ilvl w:val="1"/>
                <w:numId w:val="2"/>
              </w:numPr>
              <w:pBdr>
                <w:top w:val="nil"/>
                <w:left w:val="nil"/>
                <w:bottom w:val="nil"/>
                <w:right w:val="nil"/>
                <w:between w:val="nil"/>
              </w:pBdr>
              <w:spacing w:after="0" w:line="240" w:lineRule="auto"/>
              <w:rPr>
                <w:color w:val="000000"/>
              </w:rPr>
            </w:pPr>
            <w:hyperlink r:id="rId12" w:history="1">
              <w:r w:rsidR="00506A3D" w:rsidRPr="00F77F5D">
                <w:rPr>
                  <w:rStyle w:val="Hyperlink"/>
                </w:rPr>
                <w:t>Congruent or</w:t>
              </w:r>
              <w:r w:rsidR="00FE617C" w:rsidRPr="00F77F5D">
                <w:rPr>
                  <w:rStyle w:val="Hyperlink"/>
                </w:rPr>
                <w:t xml:space="preserve"> Similar?</w:t>
              </w:r>
            </w:hyperlink>
            <w:r w:rsidR="00FE617C">
              <w:rPr>
                <w:color w:val="000000"/>
              </w:rPr>
              <w:t xml:space="preserve"> (Word) / </w:t>
            </w:r>
            <w:hyperlink r:id="rId13" w:history="1">
              <w:r w:rsidR="00FE617C" w:rsidRPr="00F77F5D">
                <w:rPr>
                  <w:rStyle w:val="Hyperlink"/>
                </w:rPr>
                <w:t>PDF</w:t>
              </w:r>
            </w:hyperlink>
          </w:p>
          <w:p w14:paraId="782B02B7" w14:textId="2522292C" w:rsidR="00FE617C" w:rsidRDefault="00F77F5D" w:rsidP="006A4FD4">
            <w:pPr>
              <w:numPr>
                <w:ilvl w:val="1"/>
                <w:numId w:val="2"/>
              </w:numPr>
              <w:pBdr>
                <w:top w:val="nil"/>
                <w:left w:val="nil"/>
                <w:bottom w:val="nil"/>
                <w:right w:val="nil"/>
                <w:between w:val="nil"/>
              </w:pBdr>
              <w:spacing w:after="0" w:line="240" w:lineRule="auto"/>
              <w:rPr>
                <w:color w:val="000000"/>
              </w:rPr>
            </w:pPr>
            <w:hyperlink r:id="rId14" w:history="1">
              <w:r w:rsidR="00FE617C" w:rsidRPr="00F77F5D">
                <w:rPr>
                  <w:rStyle w:val="Hyperlink"/>
                </w:rPr>
                <w:t>Similarity</w:t>
              </w:r>
            </w:hyperlink>
            <w:r w:rsidR="00FE617C">
              <w:rPr>
                <w:color w:val="000000"/>
              </w:rPr>
              <w:t xml:space="preserve"> (Word) / </w:t>
            </w:r>
            <w:hyperlink r:id="rId15" w:history="1">
              <w:r w:rsidR="00FE617C" w:rsidRPr="00F77F5D">
                <w:rPr>
                  <w:rStyle w:val="Hyperlink"/>
                </w:rPr>
                <w:t>PDF</w:t>
              </w:r>
            </w:hyperlink>
          </w:p>
          <w:p w14:paraId="14F3F7F4" w14:textId="0D3768E1" w:rsidR="006A4FD4" w:rsidRDefault="006A4FD4" w:rsidP="006A4FD4">
            <w:pPr>
              <w:numPr>
                <w:ilvl w:val="0"/>
                <w:numId w:val="2"/>
              </w:numPr>
              <w:pBdr>
                <w:top w:val="nil"/>
                <w:left w:val="nil"/>
                <w:bottom w:val="nil"/>
                <w:right w:val="nil"/>
                <w:between w:val="nil"/>
              </w:pBdr>
              <w:spacing w:after="0" w:line="240" w:lineRule="auto"/>
              <w:rPr>
                <w:color w:val="000000"/>
              </w:rPr>
            </w:pPr>
            <w:r>
              <w:rPr>
                <w:color w:val="000000"/>
              </w:rPr>
              <w:t>VDOE Word Wall Cards:</w:t>
            </w:r>
            <w:r w:rsidR="00F77F5D">
              <w:rPr>
                <w:color w:val="000000"/>
              </w:rPr>
              <w:t xml:space="preserve"> </w:t>
            </w:r>
            <w:hyperlink r:id="rId16" w:history="1">
              <w:r w:rsidR="00F77F5D" w:rsidRPr="00F77F5D">
                <w:rPr>
                  <w:rStyle w:val="Hyperlink"/>
                </w:rPr>
                <w:t>Grade 6</w:t>
              </w:r>
            </w:hyperlink>
            <w:r>
              <w:rPr>
                <w:color w:val="000000"/>
              </w:rPr>
              <w:t xml:space="preserve"> </w:t>
            </w:r>
            <w:r w:rsidR="00506A3D" w:rsidRPr="00F77F5D">
              <w:rPr>
                <w:rFonts w:asciiTheme="minorHAnsi" w:hAnsiTheme="minorHAnsi" w:cstheme="minorHAnsi"/>
                <w:bdr w:val="none" w:sz="0" w:space="0" w:color="auto" w:frame="1"/>
                <w:shd w:val="clear" w:color="auto" w:fill="FFFFFF"/>
              </w:rPr>
              <w:t>(Word)</w:t>
            </w:r>
            <w:r w:rsidR="00506A3D" w:rsidRPr="00FB3694">
              <w:rPr>
                <w:rFonts w:asciiTheme="minorHAnsi" w:hAnsiTheme="minorHAnsi" w:cstheme="minorHAnsi"/>
                <w:color w:val="000000"/>
                <w:shd w:val="clear" w:color="auto" w:fill="FFFFFF"/>
              </w:rPr>
              <w:t>  |  </w:t>
            </w:r>
            <w:r w:rsidR="00506A3D" w:rsidRPr="00F77F5D">
              <w:rPr>
                <w:rFonts w:asciiTheme="minorHAnsi" w:hAnsiTheme="minorHAnsi" w:cstheme="minorHAnsi"/>
                <w:bdr w:val="none" w:sz="0" w:space="0" w:color="auto" w:frame="1"/>
                <w:shd w:val="clear" w:color="auto" w:fill="FFFFFF"/>
              </w:rPr>
              <w:t>(</w:t>
            </w:r>
            <w:hyperlink r:id="rId17" w:history="1">
              <w:r w:rsidR="00506A3D" w:rsidRPr="00F77F5D">
                <w:rPr>
                  <w:rStyle w:val="Hyperlink"/>
                  <w:rFonts w:asciiTheme="minorHAnsi" w:hAnsiTheme="minorHAnsi" w:cstheme="minorHAnsi"/>
                  <w:bdr w:val="none" w:sz="0" w:space="0" w:color="auto" w:frame="1"/>
                  <w:shd w:val="clear" w:color="auto" w:fill="FFFFFF"/>
                </w:rPr>
                <w:t>PDF</w:t>
              </w:r>
            </w:hyperlink>
            <w:r w:rsidR="00506A3D" w:rsidRPr="00F77F5D">
              <w:rPr>
                <w:rFonts w:asciiTheme="minorHAnsi" w:hAnsiTheme="minorHAnsi" w:cstheme="minorHAnsi"/>
                <w:bdr w:val="none" w:sz="0" w:space="0" w:color="auto" w:frame="1"/>
                <w:shd w:val="clear" w:color="auto" w:fill="FFFFFF"/>
              </w:rPr>
              <w:t>)</w:t>
            </w:r>
            <w:r w:rsidR="00506A3D">
              <w:rPr>
                <w:rFonts w:ascii="Arial" w:hAnsi="Arial" w:cs="Arial"/>
                <w:color w:val="000000"/>
                <w:sz w:val="18"/>
                <w:szCs w:val="18"/>
                <w:shd w:val="clear" w:color="auto" w:fill="FFFFFF"/>
              </w:rPr>
              <w:t>  </w:t>
            </w:r>
          </w:p>
          <w:p w14:paraId="6E7C14FE" w14:textId="7284180E" w:rsidR="006A4FD4" w:rsidRDefault="00FE617C" w:rsidP="006A4FD4">
            <w:pPr>
              <w:numPr>
                <w:ilvl w:val="1"/>
                <w:numId w:val="2"/>
              </w:numPr>
              <w:pBdr>
                <w:top w:val="nil"/>
                <w:left w:val="nil"/>
                <w:bottom w:val="nil"/>
                <w:right w:val="nil"/>
                <w:between w:val="nil"/>
              </w:pBdr>
              <w:spacing w:after="0" w:line="240" w:lineRule="auto"/>
              <w:rPr>
                <w:color w:val="000000"/>
              </w:rPr>
            </w:pPr>
            <w:r>
              <w:rPr>
                <w:color w:val="000000"/>
              </w:rPr>
              <w:t>Regular Polygons</w:t>
            </w:r>
          </w:p>
          <w:p w14:paraId="378617A4" w14:textId="509BB6EA" w:rsidR="00FE617C" w:rsidRDefault="00FE617C" w:rsidP="006A4FD4">
            <w:pPr>
              <w:numPr>
                <w:ilvl w:val="1"/>
                <w:numId w:val="2"/>
              </w:numPr>
              <w:pBdr>
                <w:top w:val="nil"/>
                <w:left w:val="nil"/>
                <w:bottom w:val="nil"/>
                <w:right w:val="nil"/>
                <w:between w:val="nil"/>
              </w:pBdr>
              <w:spacing w:after="0" w:line="240" w:lineRule="auto"/>
              <w:rPr>
                <w:color w:val="000000"/>
              </w:rPr>
            </w:pPr>
            <w:r>
              <w:rPr>
                <w:color w:val="000000"/>
              </w:rPr>
              <w:t>Congruent Figures</w:t>
            </w:r>
          </w:p>
          <w:p w14:paraId="4557587E" w14:textId="53EF6103" w:rsidR="007251E8" w:rsidRPr="007251E8" w:rsidRDefault="00FE617C" w:rsidP="007251E8">
            <w:pPr>
              <w:numPr>
                <w:ilvl w:val="1"/>
                <w:numId w:val="2"/>
              </w:numPr>
              <w:pBdr>
                <w:top w:val="nil"/>
                <w:left w:val="nil"/>
                <w:bottom w:val="nil"/>
                <w:right w:val="nil"/>
                <w:between w:val="nil"/>
              </w:pBdr>
              <w:spacing w:after="0" w:line="240" w:lineRule="auto"/>
              <w:rPr>
                <w:color w:val="000000"/>
              </w:rPr>
            </w:pPr>
            <w:r>
              <w:rPr>
                <w:color w:val="000000"/>
              </w:rPr>
              <w:t>Lines of Symmetry</w:t>
            </w:r>
          </w:p>
          <w:p w14:paraId="65F723B7" w14:textId="2F6DA179" w:rsidR="006A4FD4" w:rsidRDefault="007251E8" w:rsidP="006A4FD4">
            <w:pPr>
              <w:numPr>
                <w:ilvl w:val="0"/>
                <w:numId w:val="2"/>
              </w:numPr>
              <w:pBdr>
                <w:top w:val="nil"/>
                <w:left w:val="nil"/>
                <w:bottom w:val="nil"/>
                <w:right w:val="nil"/>
                <w:between w:val="nil"/>
              </w:pBdr>
              <w:spacing w:after="0" w:line="240" w:lineRule="auto"/>
              <w:rPr>
                <w:color w:val="000000"/>
              </w:rPr>
            </w:pPr>
            <w:r>
              <w:rPr>
                <w:color w:val="000000"/>
              </w:rPr>
              <w:t>Desmos Activity</w:t>
            </w:r>
          </w:p>
          <w:p w14:paraId="55221CDD" w14:textId="5AC38E86" w:rsidR="006A4FD4" w:rsidRPr="00556F9D" w:rsidRDefault="00F77F5D" w:rsidP="00556F9D">
            <w:pPr>
              <w:pStyle w:val="ListParagraph"/>
              <w:numPr>
                <w:ilvl w:val="1"/>
                <w:numId w:val="2"/>
              </w:numPr>
              <w:pBdr>
                <w:top w:val="nil"/>
                <w:left w:val="nil"/>
                <w:bottom w:val="nil"/>
                <w:right w:val="nil"/>
                <w:between w:val="nil"/>
              </w:pBdr>
              <w:spacing w:after="120" w:line="240" w:lineRule="auto"/>
              <w:rPr>
                <w:color w:val="000000"/>
              </w:rPr>
            </w:pPr>
            <w:hyperlink r:id="rId18" w:history="1">
              <w:r w:rsidR="007251E8" w:rsidRPr="007251E8">
                <w:rPr>
                  <w:rStyle w:val="Hyperlink"/>
                </w:rPr>
                <w:t>Polygraph: Polygons</w:t>
              </w:r>
            </w:hyperlink>
          </w:p>
        </w:tc>
      </w:tr>
      <w:tr w:rsidR="006A4FD4" w14:paraId="1CD52392" w14:textId="77777777" w:rsidTr="00556F9D">
        <w:tc>
          <w:tcPr>
            <w:tcW w:w="9350" w:type="dxa"/>
          </w:tcPr>
          <w:p w14:paraId="3984203A" w14:textId="58148FB9" w:rsidR="006A4FD4" w:rsidRDefault="006A4FD4" w:rsidP="00556F9D">
            <w:pPr>
              <w:spacing w:before="120" w:after="120"/>
            </w:pPr>
            <w:r w:rsidRPr="00AD160F">
              <w:rPr>
                <w:rStyle w:val="Heading1Char"/>
              </w:rPr>
              <w:t xml:space="preserve">Supporting </w:t>
            </w:r>
            <w:r w:rsidR="00F3001F">
              <w:rPr>
                <w:rStyle w:val="Heading1Char"/>
              </w:rPr>
              <w:t xml:space="preserve">and Prerequisite </w:t>
            </w:r>
            <w:r w:rsidRPr="00AD160F">
              <w:rPr>
                <w:rStyle w:val="Heading1Char"/>
              </w:rPr>
              <w:t>SOL</w:t>
            </w:r>
            <w:r w:rsidRPr="00506A3D">
              <w:rPr>
                <w:b/>
                <w:sz w:val="28"/>
                <w:szCs w:val="28"/>
              </w:rPr>
              <w:t>:</w:t>
            </w:r>
            <w:r>
              <w:t xml:space="preserve">  </w:t>
            </w:r>
            <w:hyperlink r:id="rId19" w:history="1">
              <w:r w:rsidR="00DD1F41" w:rsidRPr="00F77F5D">
                <w:rPr>
                  <w:rStyle w:val="Hyperlink"/>
                </w:rPr>
                <w:t>5.12</w:t>
              </w:r>
            </w:hyperlink>
            <w:r w:rsidR="00DD1F41">
              <w:t xml:space="preserve">, </w:t>
            </w:r>
            <w:hyperlink r:id="rId20" w:history="1">
              <w:r w:rsidR="00DD1F41" w:rsidRPr="00F77F5D">
                <w:rPr>
                  <w:rStyle w:val="Hyperlink"/>
                </w:rPr>
                <w:t>5.13a</w:t>
              </w:r>
            </w:hyperlink>
            <w:r w:rsidR="00DD1F41">
              <w:t>,</w:t>
            </w:r>
            <w:r w:rsidR="002022D2">
              <w:t xml:space="preserve"> </w:t>
            </w:r>
            <w:hyperlink r:id="rId21" w:history="1">
              <w:r w:rsidR="002022D2" w:rsidRPr="00F77F5D">
                <w:rPr>
                  <w:rStyle w:val="Hyperlink"/>
                </w:rPr>
                <w:t>5.14a</w:t>
              </w:r>
            </w:hyperlink>
            <w:r w:rsidR="00556F9D">
              <w:t xml:space="preserve">, </w:t>
            </w:r>
            <w:hyperlink r:id="rId22" w:history="1">
              <w:r w:rsidR="00556F9D" w:rsidRPr="00F77F5D">
                <w:rPr>
                  <w:rStyle w:val="Hyperlink"/>
                </w:rPr>
                <w:t>4.10a</w:t>
              </w:r>
            </w:hyperlink>
            <w:r w:rsidR="00556F9D">
              <w:t xml:space="preserve">, </w:t>
            </w:r>
            <w:hyperlink r:id="rId23" w:history="1">
              <w:r w:rsidR="00556F9D" w:rsidRPr="00F77F5D">
                <w:rPr>
                  <w:rStyle w:val="Hyperlink"/>
                </w:rPr>
                <w:t>4.10b</w:t>
              </w:r>
            </w:hyperlink>
            <w:r w:rsidR="00556F9D">
              <w:t xml:space="preserve">, </w:t>
            </w:r>
            <w:hyperlink r:id="rId24" w:history="1">
              <w:r w:rsidR="00556F9D" w:rsidRPr="00F77F5D">
                <w:rPr>
                  <w:rStyle w:val="Hyperlink"/>
                </w:rPr>
                <w:t>4.12</w:t>
              </w:r>
            </w:hyperlink>
            <w:bookmarkStart w:id="0" w:name="_GoBack"/>
            <w:bookmarkEnd w:id="0"/>
          </w:p>
        </w:tc>
      </w:tr>
    </w:tbl>
    <w:p w14:paraId="37C24AFE" w14:textId="597B409D" w:rsidR="00556F9D" w:rsidRDefault="00556F9D" w:rsidP="006A4FD4"/>
    <w:p w14:paraId="686AA212" w14:textId="77777777" w:rsidR="00556F9D" w:rsidRDefault="00556F9D">
      <w:r>
        <w:br w:type="page"/>
      </w:r>
    </w:p>
    <w:p w14:paraId="36702DF5" w14:textId="61960C43" w:rsidR="006A4FD4" w:rsidRDefault="00556F9D" w:rsidP="00556F9D">
      <w:pPr>
        <w:pStyle w:val="Title"/>
      </w:pPr>
      <w:bookmarkStart w:id="1" w:name="bookmark=id.gjdgxs" w:colFirst="0" w:colLast="0"/>
      <w:bookmarkEnd w:id="1"/>
      <w:r>
        <w:lastRenderedPageBreak/>
        <w:t xml:space="preserve">SOL 6.9 - </w:t>
      </w:r>
      <w:r w:rsidR="006A4FD4">
        <w:t>Just in Time Quick Check</w:t>
      </w:r>
    </w:p>
    <w:p w14:paraId="00B6F2EE" w14:textId="77777777" w:rsidR="00556F9D" w:rsidRPr="00556F9D" w:rsidRDefault="00556F9D" w:rsidP="00556F9D"/>
    <w:p w14:paraId="5313ADB2" w14:textId="237B5FC4" w:rsidR="00D73D2C" w:rsidRDefault="00625B18" w:rsidP="00F3001F">
      <w:pPr>
        <w:pStyle w:val="ListParagraph"/>
        <w:numPr>
          <w:ilvl w:val="0"/>
          <w:numId w:val="10"/>
        </w:numPr>
        <w:spacing w:line="240" w:lineRule="auto"/>
      </w:pPr>
      <w:bookmarkStart w:id="2" w:name="_Hlk46913589"/>
      <w:bookmarkStart w:id="3" w:name="_Hlk46913559"/>
      <w:r>
        <w:t>Circle all the polygons that are regular</w:t>
      </w:r>
      <w:r w:rsidR="00C41524">
        <w:t xml:space="preserve"> polygons</w:t>
      </w:r>
      <w:r>
        <w:t>.</w:t>
      </w:r>
      <w:r w:rsidR="00B61A13" w:rsidRPr="00B61A13">
        <w:rPr>
          <w:noProof/>
        </w:rPr>
        <w:t xml:space="preserve"> </w:t>
      </w:r>
      <w:r w:rsidR="008F5518">
        <w:rPr>
          <w:noProof/>
        </w:rPr>
        <w:t xml:space="preserve"> </w:t>
      </w:r>
    </w:p>
    <w:p w14:paraId="44F267EF" w14:textId="54C4AA80" w:rsidR="003A77C9" w:rsidRDefault="003A77C9" w:rsidP="003A77C9">
      <w:pPr>
        <w:spacing w:line="240" w:lineRule="auto"/>
        <w:ind w:left="720"/>
        <w:rPr>
          <w:sz w:val="16"/>
          <w:szCs w:val="16"/>
          <w:vertAlign w:val="superscript"/>
        </w:rPr>
      </w:pPr>
      <w:bookmarkStart w:id="4" w:name="_Hlk46914256"/>
      <w:r>
        <w:rPr>
          <w:noProof/>
          <w:lang w:val="en-US"/>
        </w:rPr>
        <w:drawing>
          <wp:inline distT="0" distB="0" distL="0" distR="0" wp14:anchorId="17CDE4A4" wp14:editId="50C92FE2">
            <wp:extent cx="5943600" cy="1870075"/>
            <wp:effectExtent l="0" t="0" r="0" b="0"/>
            <wp:docPr id="7" name="Picture 7" descr="A set of 9 regular and irregular polygons &#10;" title="Regular Polygon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1.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1870075"/>
                    </a:xfrm>
                    <a:prstGeom prst="rect">
                      <a:avLst/>
                    </a:prstGeom>
                  </pic:spPr>
                </pic:pic>
              </a:graphicData>
            </a:graphic>
          </wp:inline>
        </w:drawing>
      </w:r>
    </w:p>
    <w:p w14:paraId="6674C957" w14:textId="6015F204" w:rsidR="00625B18" w:rsidRPr="003A77C9" w:rsidRDefault="00E861CA" w:rsidP="003A77C9">
      <w:pPr>
        <w:spacing w:line="240" w:lineRule="auto"/>
        <w:ind w:left="720"/>
        <w:rPr>
          <w:sz w:val="16"/>
          <w:szCs w:val="16"/>
          <w:vertAlign w:val="superscript"/>
        </w:rPr>
      </w:pPr>
      <w:r>
        <w:t>Explain how you determined which polygons to circle</w:t>
      </w:r>
      <w:r w:rsidR="00625B18">
        <w:t>.</w:t>
      </w:r>
    </w:p>
    <w:bookmarkEnd w:id="4"/>
    <w:p w14:paraId="728F0BBF" w14:textId="2A2C1B27" w:rsidR="00625B18" w:rsidRPr="00CA625E" w:rsidRDefault="00625B18" w:rsidP="006A4FD4">
      <w:pPr>
        <w:spacing w:line="240" w:lineRule="auto"/>
        <w:rPr>
          <w:sz w:val="16"/>
          <w:szCs w:val="16"/>
        </w:rPr>
      </w:pPr>
    </w:p>
    <w:p w14:paraId="670632B9" w14:textId="7486D2CA" w:rsidR="00625B18" w:rsidRDefault="00625B18" w:rsidP="006A4FD4">
      <w:pPr>
        <w:spacing w:line="240" w:lineRule="auto"/>
      </w:pPr>
    </w:p>
    <w:p w14:paraId="7351919B" w14:textId="1B4BDBD3" w:rsidR="00220F74" w:rsidRDefault="00220F74" w:rsidP="006A4FD4">
      <w:pPr>
        <w:spacing w:line="240" w:lineRule="auto"/>
      </w:pPr>
    </w:p>
    <w:p w14:paraId="483CF283" w14:textId="653062A8" w:rsidR="00220F74" w:rsidRDefault="00220F74" w:rsidP="006A4FD4">
      <w:pPr>
        <w:spacing w:line="240" w:lineRule="auto"/>
      </w:pPr>
    </w:p>
    <w:p w14:paraId="0C45A36C" w14:textId="77777777" w:rsidR="00220F74" w:rsidRDefault="00220F74" w:rsidP="006A4FD4">
      <w:pPr>
        <w:spacing w:line="240" w:lineRule="auto"/>
      </w:pPr>
    </w:p>
    <w:p w14:paraId="31E85C03" w14:textId="77777777" w:rsidR="00D44D6F" w:rsidRPr="00D44D6F" w:rsidRDefault="00D44D6F" w:rsidP="006A4FD4">
      <w:pPr>
        <w:spacing w:line="240" w:lineRule="auto"/>
        <w:rPr>
          <w:sz w:val="16"/>
          <w:szCs w:val="16"/>
        </w:rPr>
      </w:pPr>
    </w:p>
    <w:p w14:paraId="53F24368" w14:textId="1DBE7B0C" w:rsidR="00B1353C" w:rsidRDefault="00301B2E" w:rsidP="00F3001F">
      <w:pPr>
        <w:pStyle w:val="ListParagraph"/>
        <w:numPr>
          <w:ilvl w:val="0"/>
          <w:numId w:val="10"/>
        </w:numPr>
        <w:spacing w:line="240" w:lineRule="auto"/>
      </w:pPr>
      <w:r>
        <w:t xml:space="preserve">Draw all </w:t>
      </w:r>
      <w:r w:rsidR="00356844">
        <w:t xml:space="preserve">lines of symmetry </w:t>
      </w:r>
      <w:r>
        <w:t>for</w:t>
      </w:r>
      <w:r w:rsidR="00356844">
        <w:t xml:space="preserve"> each polygon.  F</w:t>
      </w:r>
      <w:r w:rsidR="00B1353C">
        <w:t>ill in the blank with the number of lines of sym</w:t>
      </w:r>
      <w:r w:rsidR="00356844">
        <w:t xml:space="preserve">metry you drew for each of these </w:t>
      </w:r>
      <w:r w:rsidR="00B1353C">
        <w:t>polygons.</w:t>
      </w:r>
    </w:p>
    <w:p w14:paraId="3AC176F6" w14:textId="49D0DB4C" w:rsidR="00041103" w:rsidRDefault="00041103" w:rsidP="00041103">
      <w:pPr>
        <w:spacing w:line="240" w:lineRule="auto"/>
      </w:pPr>
    </w:p>
    <w:p w14:paraId="6C79BBE3" w14:textId="76692A7A" w:rsidR="00041103" w:rsidRDefault="00041103" w:rsidP="00041103">
      <w:pPr>
        <w:spacing w:line="240" w:lineRule="auto"/>
        <w:ind w:left="720"/>
      </w:pPr>
      <w:r>
        <w:rPr>
          <w:noProof/>
          <w:lang w:val="en-US"/>
        </w:rPr>
        <w:drawing>
          <wp:inline distT="0" distB="0" distL="0" distR="0" wp14:anchorId="3B8F935D" wp14:editId="380F83A6">
            <wp:extent cx="6508341" cy="1695450"/>
            <wp:effectExtent l="0" t="0" r="6985" b="0"/>
            <wp:docPr id="14" name="Picture 14" descr="A regular hexagon with six congruent sides&#10;A regular triangle with three congruent sides&#10;a regular pentagon with five congruent sides" title="Pictures of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522217" cy="1699065"/>
                    </a:xfrm>
                    <a:prstGeom prst="rect">
                      <a:avLst/>
                    </a:prstGeom>
                  </pic:spPr>
                </pic:pic>
              </a:graphicData>
            </a:graphic>
          </wp:inline>
        </w:drawing>
      </w:r>
    </w:p>
    <w:p w14:paraId="66FF8F3F" w14:textId="7DA2F84D" w:rsidR="00D75F30" w:rsidRDefault="00220F74" w:rsidP="00220F74">
      <w:r>
        <w:br w:type="page"/>
      </w:r>
    </w:p>
    <w:p w14:paraId="7376254B" w14:textId="784508D5" w:rsidR="00C5435B" w:rsidRDefault="00147922" w:rsidP="00D75F30">
      <w:pPr>
        <w:pStyle w:val="ListParagraph"/>
        <w:numPr>
          <w:ilvl w:val="0"/>
          <w:numId w:val="10"/>
        </w:numPr>
        <w:spacing w:line="240" w:lineRule="auto"/>
      </w:pPr>
      <w:bookmarkStart w:id="5" w:name="bookmark=id.30j0zll" w:colFirst="0" w:colLast="0"/>
      <w:bookmarkEnd w:id="5"/>
      <w:r>
        <w:lastRenderedPageBreak/>
        <w:t>Use</w:t>
      </w:r>
      <w:r w:rsidR="00C5435B">
        <w:t xml:space="preserve"> the triangles below and complete the statements:</w:t>
      </w:r>
    </w:p>
    <w:p w14:paraId="381855F1" w14:textId="6B59DA61" w:rsidR="00C5435B" w:rsidRDefault="00147922" w:rsidP="00147922">
      <w:pPr>
        <w:pStyle w:val="ListParagraph"/>
        <w:spacing w:line="240" w:lineRule="auto"/>
      </w:pPr>
      <w:r>
        <w:rPr>
          <w:noProof/>
          <w:lang w:val="en-US"/>
        </w:rPr>
        <w:drawing>
          <wp:inline distT="0" distB="0" distL="0" distR="0" wp14:anchorId="189B8AD1" wp14:editId="68F5489B">
            <wp:extent cx="4800600" cy="1514475"/>
            <wp:effectExtent l="0" t="0" r="0" b="9525"/>
            <wp:docPr id="17" name="Picture 17" descr="An image of triangle ABC and triangle RST.  Angle C is congruent to angle blank.  Segment AT is congruent to blank.  Anlge T is congruent to angle blank.  Segment RT is congruent to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00600" cy="1514475"/>
                    </a:xfrm>
                    <a:prstGeom prst="rect">
                      <a:avLst/>
                    </a:prstGeom>
                  </pic:spPr>
                </pic:pic>
              </a:graphicData>
            </a:graphic>
          </wp:inline>
        </w:drawing>
      </w:r>
    </w:p>
    <w:p w14:paraId="5388D451" w14:textId="357D96C2" w:rsidR="00C07649" w:rsidRDefault="00147922" w:rsidP="00C5435B">
      <w:pPr>
        <w:pStyle w:val="ListParagraph"/>
        <w:spacing w:line="240" w:lineRule="auto"/>
      </w:pPr>
      <w:r>
        <w:t>Are the two triangles</w:t>
      </w:r>
      <w:r w:rsidR="00D75F30">
        <w:t xml:space="preserve"> congruent?  Explain your reasoning.</w:t>
      </w:r>
    </w:p>
    <w:p w14:paraId="7365B470" w14:textId="77777777" w:rsidR="00C07649" w:rsidRPr="00D75F30" w:rsidRDefault="00C07649" w:rsidP="00C5435B">
      <w:pPr>
        <w:pStyle w:val="ListParagraph"/>
        <w:spacing w:line="240" w:lineRule="auto"/>
      </w:pPr>
    </w:p>
    <w:p w14:paraId="76A6835B" w14:textId="5F0FF145" w:rsidR="004A04C8" w:rsidRDefault="008D7914" w:rsidP="0044544E">
      <w:pPr>
        <w:spacing w:line="240" w:lineRule="auto"/>
        <w:ind w:left="3600"/>
        <w:rPr>
          <w:bCs/>
        </w:rPr>
      </w:pPr>
      <w:r w:rsidRPr="005F22FA">
        <w:rPr>
          <w:bCs/>
        </w:rPr>
        <w:t xml:space="preserve">       </w:t>
      </w:r>
    </w:p>
    <w:bookmarkEnd w:id="2"/>
    <w:p w14:paraId="6C6D77D9" w14:textId="77777777" w:rsidR="003C377E" w:rsidRDefault="004C3AB8" w:rsidP="004C3AB8">
      <w:pPr>
        <w:spacing w:line="240" w:lineRule="auto"/>
        <w:rPr>
          <w:bCs/>
        </w:rPr>
      </w:pPr>
      <w:r w:rsidRPr="005F22FA">
        <w:rPr>
          <w:bCs/>
        </w:rPr>
        <w:t xml:space="preserve">  </w:t>
      </w:r>
      <w:r w:rsidR="00CA625E">
        <w:rPr>
          <w:bCs/>
        </w:rPr>
        <w:t xml:space="preserve">       </w:t>
      </w:r>
    </w:p>
    <w:p w14:paraId="7531CCE6" w14:textId="77777777" w:rsidR="003C377E" w:rsidRDefault="003C377E" w:rsidP="004C3AB8">
      <w:pPr>
        <w:spacing w:line="240" w:lineRule="auto"/>
        <w:rPr>
          <w:bCs/>
        </w:rPr>
      </w:pPr>
    </w:p>
    <w:p w14:paraId="4048CB09" w14:textId="71D540D8" w:rsidR="00680AB4" w:rsidRDefault="003C377E" w:rsidP="00CA0760">
      <w:pPr>
        <w:spacing w:line="240" w:lineRule="auto"/>
        <w:ind w:firstLine="360"/>
        <w:rPr>
          <w:bCs/>
        </w:rPr>
      </w:pPr>
      <w:r>
        <w:rPr>
          <w:bCs/>
        </w:rPr>
        <w:t>4.</w:t>
      </w:r>
      <w:r w:rsidR="00CA625E">
        <w:rPr>
          <w:bCs/>
        </w:rPr>
        <w:t xml:space="preserve"> </w:t>
      </w:r>
      <w:r>
        <w:rPr>
          <w:bCs/>
        </w:rPr>
        <w:t xml:space="preserve">  Figure KLMN is congruent to figure WXYZ.</w:t>
      </w:r>
    </w:p>
    <w:p w14:paraId="6BECD11E" w14:textId="3F946ED3" w:rsidR="003C377E" w:rsidRDefault="003C377E" w:rsidP="003C377E">
      <w:pPr>
        <w:spacing w:line="240" w:lineRule="auto"/>
        <w:ind w:firstLine="450"/>
        <w:rPr>
          <w:bCs/>
        </w:rPr>
      </w:pPr>
      <w:r>
        <w:rPr>
          <w:noProof/>
          <w:lang w:val="en-US"/>
        </w:rPr>
        <w:drawing>
          <wp:inline distT="0" distB="0" distL="0" distR="0" wp14:anchorId="3C6C6367" wp14:editId="06A73F7B">
            <wp:extent cx="5534025" cy="1933575"/>
            <wp:effectExtent l="0" t="0" r="9525" b="9525"/>
            <wp:docPr id="18" name="Picture 18" descr="Figure KLMN and figure WXYZ are shown.  Anlge W equals 110 degrees, angle X equals seventy degrees, angel Y equals eighty-five degrees, angle Z equals ninety-five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34025" cy="1933575"/>
                    </a:xfrm>
                    <a:prstGeom prst="rect">
                      <a:avLst/>
                    </a:prstGeom>
                  </pic:spPr>
                </pic:pic>
              </a:graphicData>
            </a:graphic>
          </wp:inline>
        </w:drawing>
      </w:r>
    </w:p>
    <w:p w14:paraId="7ABF33CF" w14:textId="7EE969AA" w:rsidR="004C3AB8" w:rsidRDefault="00CA625E" w:rsidP="00220F74">
      <w:pPr>
        <w:rPr>
          <w:bCs/>
        </w:rPr>
      </w:pPr>
      <w:r>
        <w:rPr>
          <w:bCs/>
        </w:rPr>
        <w:t xml:space="preserve"> </w:t>
      </w:r>
      <w:bookmarkEnd w:id="3"/>
      <w:r w:rsidR="003C377E">
        <w:rPr>
          <w:bCs/>
        </w:rPr>
        <w:tab/>
        <w:t>Wha</w:t>
      </w:r>
      <w:r w:rsidR="00011094">
        <w:rPr>
          <w:bCs/>
        </w:rPr>
        <w:t xml:space="preserve">t are the measures of angle </w:t>
      </w:r>
      <w:r w:rsidR="00011094" w:rsidRPr="00011094">
        <w:rPr>
          <w:bCs/>
          <w:i/>
        </w:rPr>
        <w:t>K</w:t>
      </w:r>
      <w:r w:rsidR="00011094">
        <w:rPr>
          <w:bCs/>
        </w:rPr>
        <w:t xml:space="preserve"> and angle </w:t>
      </w:r>
      <w:r w:rsidR="00011094" w:rsidRPr="00011094">
        <w:rPr>
          <w:bCs/>
          <w:i/>
        </w:rPr>
        <w:t>M</w:t>
      </w:r>
      <w:r w:rsidR="003C377E">
        <w:rPr>
          <w:bCs/>
        </w:rPr>
        <w:t xml:space="preserve">? </w:t>
      </w:r>
    </w:p>
    <w:p w14:paraId="467BC749" w14:textId="70AD7D3A" w:rsidR="003C377E" w:rsidRDefault="003C377E" w:rsidP="00220F74">
      <w:pPr>
        <w:rPr>
          <w:bCs/>
        </w:rPr>
      </w:pPr>
    </w:p>
    <w:p w14:paraId="4AAA18D9" w14:textId="49B65057" w:rsidR="003C377E" w:rsidRDefault="00E017B9" w:rsidP="00CA0760">
      <w:pPr>
        <w:ind w:firstLine="180"/>
        <w:rPr>
          <w:bCs/>
        </w:rPr>
      </w:pPr>
      <w:r>
        <w:rPr>
          <w:bCs/>
        </w:rPr>
        <w:t xml:space="preserve">   5.    Are the two parallelograms congruent?  Explain your reasoning.</w:t>
      </w:r>
    </w:p>
    <w:p w14:paraId="2B0C30A8" w14:textId="3A66CDBD" w:rsidR="003C377E" w:rsidRDefault="00E017B9" w:rsidP="00220F74">
      <w:pPr>
        <w:rPr>
          <w:bCs/>
        </w:rPr>
      </w:pPr>
      <w:r>
        <w:rPr>
          <w:noProof/>
          <w:lang w:val="en-US"/>
        </w:rPr>
        <w:drawing>
          <wp:inline distT="0" distB="0" distL="0" distR="0" wp14:anchorId="14EFAD25" wp14:editId="67612900">
            <wp:extent cx="4705350" cy="2152650"/>
            <wp:effectExtent l="0" t="0" r="0" b="0"/>
            <wp:docPr id="1" name="Picture 1" descr="Figure ABCD and figure JKLM are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05350" cy="2152650"/>
                    </a:xfrm>
                    <a:prstGeom prst="rect">
                      <a:avLst/>
                    </a:prstGeom>
                  </pic:spPr>
                </pic:pic>
              </a:graphicData>
            </a:graphic>
          </wp:inline>
        </w:drawing>
      </w:r>
    </w:p>
    <w:p w14:paraId="7EBEC459" w14:textId="1FABEA4F" w:rsidR="000C1165" w:rsidRDefault="00C07649" w:rsidP="00737128">
      <w:pPr>
        <w:rPr>
          <w:bCs/>
        </w:rPr>
      </w:pPr>
      <w:r>
        <w:rPr>
          <w:bCs/>
        </w:rPr>
        <w:br w:type="page"/>
      </w:r>
    </w:p>
    <w:p w14:paraId="4DC9452C" w14:textId="0F4E67E6" w:rsidR="006514F2" w:rsidRPr="00737128" w:rsidRDefault="00737128" w:rsidP="00737128">
      <w:pPr>
        <w:spacing w:line="240" w:lineRule="auto"/>
        <w:ind w:left="360"/>
        <w:rPr>
          <w:bCs/>
        </w:rPr>
      </w:pPr>
      <w:r>
        <w:rPr>
          <w:bCs/>
        </w:rPr>
        <w:lastRenderedPageBreak/>
        <w:t xml:space="preserve">6.    </w:t>
      </w:r>
      <w:r w:rsidR="00301B2E" w:rsidRPr="00737128">
        <w:rPr>
          <w:bCs/>
        </w:rPr>
        <w:t>Identify which line segments are congruent.</w:t>
      </w:r>
    </w:p>
    <w:p w14:paraId="16422965" w14:textId="16E4F418" w:rsidR="006514F2" w:rsidRDefault="006514F2" w:rsidP="006514F2">
      <w:pPr>
        <w:pStyle w:val="ListParagraph"/>
        <w:spacing w:line="240" w:lineRule="auto"/>
        <w:rPr>
          <w:bCs/>
        </w:rPr>
      </w:pPr>
    </w:p>
    <w:p w14:paraId="7F36B1C6" w14:textId="69639433" w:rsidR="006514F2" w:rsidRDefault="006514F2" w:rsidP="006514F2">
      <w:pPr>
        <w:pStyle w:val="ListParagraph"/>
        <w:spacing w:line="240" w:lineRule="auto"/>
        <w:rPr>
          <w:bCs/>
        </w:rPr>
      </w:pPr>
    </w:p>
    <w:p w14:paraId="54A2B91B" w14:textId="6671EDA4" w:rsidR="00AA06EF" w:rsidRPr="00704B22" w:rsidRDefault="00C07649" w:rsidP="00C07649">
      <w:pPr>
        <w:pStyle w:val="ListParagraph"/>
        <w:spacing w:line="240" w:lineRule="auto"/>
        <w:rPr>
          <w:bCs/>
        </w:rPr>
      </w:pPr>
      <w:r w:rsidRPr="00BE3463">
        <w:rPr>
          <w:rFonts w:asciiTheme="minorHAnsi" w:hAnsiTheme="minorHAnsi"/>
          <w:noProof/>
          <w:lang w:val="en-US"/>
        </w:rPr>
        <w:t xml:space="preserve"> </w:t>
      </w:r>
      <w:r w:rsidR="00F050BF">
        <w:rPr>
          <w:noProof/>
          <w:lang w:val="en-US"/>
        </w:rPr>
        <w:drawing>
          <wp:inline distT="0" distB="0" distL="0" distR="0" wp14:anchorId="3BB68E49" wp14:editId="4165D403">
            <wp:extent cx="4951562" cy="4931848"/>
            <wp:effectExtent l="19050" t="19050" r="20955" b="21590"/>
            <wp:docPr id="19" name="Picture 19" descr="A coordinate grid is shown with line segments from left to right LM, Tu, RS, WX, JK, and 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96717" cy="5076425"/>
                    </a:xfrm>
                    <a:prstGeom prst="rect">
                      <a:avLst/>
                    </a:prstGeom>
                    <a:ln>
                      <a:solidFill>
                        <a:srgbClr val="000000"/>
                      </a:solidFill>
                    </a:ln>
                  </pic:spPr>
                </pic:pic>
              </a:graphicData>
            </a:graphic>
          </wp:inline>
        </w:drawing>
      </w:r>
      <w:r w:rsidR="00D75F30" w:rsidRPr="00704B22">
        <w:rPr>
          <w:bCs/>
        </w:rPr>
        <w:br w:type="page"/>
      </w:r>
    </w:p>
    <w:p w14:paraId="5100542B" w14:textId="746FEFE6" w:rsidR="006A4FD4" w:rsidRDefault="00556F9D" w:rsidP="006A4FD4">
      <w:pPr>
        <w:pStyle w:val="Title"/>
      </w:pPr>
      <w:bookmarkStart w:id="6" w:name="teacher"/>
      <w:r>
        <w:lastRenderedPageBreak/>
        <w:t xml:space="preserve">SOL 6.9 </w:t>
      </w:r>
      <w:bookmarkEnd w:id="6"/>
      <w:r>
        <w:t xml:space="preserve">- </w:t>
      </w:r>
      <w:r w:rsidR="006A4FD4">
        <w:t>Just in Time Quick Check Teacher Notes</w:t>
      </w:r>
    </w:p>
    <w:p w14:paraId="4822F735" w14:textId="4EB8119C" w:rsidR="0044544E" w:rsidRDefault="001C7E5C" w:rsidP="001C7E5C">
      <w:pPr>
        <w:spacing w:after="0"/>
        <w:jc w:val="center"/>
        <w:rPr>
          <w:b/>
          <w:color w:val="C00000"/>
        </w:rPr>
      </w:pPr>
      <w:r>
        <w:rPr>
          <w:b/>
          <w:color w:val="C00000"/>
        </w:rPr>
        <w:t>Common Errors/Misconceptions and their Possible Indications</w:t>
      </w:r>
    </w:p>
    <w:p w14:paraId="06886737" w14:textId="77777777" w:rsidR="001C7E5C" w:rsidRPr="001C7E5C" w:rsidRDefault="001C7E5C" w:rsidP="001C7E5C">
      <w:pPr>
        <w:spacing w:after="0"/>
        <w:jc w:val="center"/>
        <w:rPr>
          <w:b/>
          <w:color w:val="C00000"/>
        </w:rPr>
      </w:pPr>
    </w:p>
    <w:p w14:paraId="3CF275AB" w14:textId="65A0DA38" w:rsidR="00831A5F" w:rsidRDefault="00466C81" w:rsidP="00466C81">
      <w:pPr>
        <w:pStyle w:val="ListParagraph"/>
        <w:numPr>
          <w:ilvl w:val="0"/>
          <w:numId w:val="13"/>
        </w:numPr>
      </w:pPr>
      <w:r>
        <w:t xml:space="preserve"> Circle all the polygons that are regular polygons.</w:t>
      </w:r>
    </w:p>
    <w:p w14:paraId="09D3FECF" w14:textId="7E42F37E" w:rsidR="00C41524" w:rsidRDefault="00466C81" w:rsidP="00466C81">
      <w:pPr>
        <w:ind w:left="720"/>
      </w:pPr>
      <w:r>
        <w:rPr>
          <w:noProof/>
          <w:lang w:val="en-US"/>
        </w:rPr>
        <w:drawing>
          <wp:inline distT="0" distB="0" distL="0" distR="0" wp14:anchorId="6984284D" wp14:editId="0E0AF1CF">
            <wp:extent cx="5943600" cy="1870075"/>
            <wp:effectExtent l="0" t="0" r="0" b="0"/>
            <wp:docPr id="5" name="Picture 5" descr="A set of 9 regular and irregular polygons &#10;" title="Regular Polygon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1.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1870075"/>
                    </a:xfrm>
                    <a:prstGeom prst="rect">
                      <a:avLst/>
                    </a:prstGeom>
                  </pic:spPr>
                </pic:pic>
              </a:graphicData>
            </a:graphic>
          </wp:inline>
        </w:drawing>
      </w:r>
    </w:p>
    <w:p w14:paraId="6017C569" w14:textId="6B90785D" w:rsidR="00356844" w:rsidRPr="008F5518" w:rsidRDefault="00356844" w:rsidP="008F5518">
      <w:pPr>
        <w:spacing w:line="240" w:lineRule="auto"/>
        <w:ind w:left="720"/>
      </w:pPr>
      <w:r>
        <w:t>Explain how you determined which polygons to circle.</w:t>
      </w:r>
    </w:p>
    <w:p w14:paraId="5F3445D0" w14:textId="135460A2" w:rsidR="00A324F2" w:rsidRPr="003E64AF" w:rsidRDefault="00DC0852" w:rsidP="00831A5F">
      <w:pPr>
        <w:ind w:left="720"/>
        <w:rPr>
          <w:i/>
          <w:iCs/>
          <w:color w:val="C00000"/>
        </w:rPr>
      </w:pPr>
      <w:r>
        <w:rPr>
          <w:i/>
          <w:iCs/>
          <w:color w:val="C00000"/>
        </w:rPr>
        <w:t>A common misconception some s</w:t>
      </w:r>
      <w:r w:rsidR="002E662A">
        <w:rPr>
          <w:i/>
          <w:iCs/>
          <w:color w:val="C00000"/>
        </w:rPr>
        <w:t xml:space="preserve">tudents </w:t>
      </w:r>
      <w:r w:rsidR="00955ECB">
        <w:rPr>
          <w:i/>
          <w:iCs/>
          <w:color w:val="C00000"/>
        </w:rPr>
        <w:t xml:space="preserve">may </w:t>
      </w:r>
      <w:r>
        <w:rPr>
          <w:i/>
          <w:iCs/>
          <w:color w:val="C00000"/>
        </w:rPr>
        <w:t xml:space="preserve">have is </w:t>
      </w:r>
      <w:r w:rsidR="00955ECB">
        <w:rPr>
          <w:i/>
          <w:iCs/>
          <w:color w:val="C00000"/>
        </w:rPr>
        <w:t>to identify</w:t>
      </w:r>
      <w:r w:rsidR="003E64AF">
        <w:rPr>
          <w:i/>
          <w:iCs/>
          <w:color w:val="C00000"/>
        </w:rPr>
        <w:t xml:space="preserve"> polygons</w:t>
      </w:r>
      <w:r>
        <w:rPr>
          <w:i/>
          <w:iCs/>
          <w:color w:val="C00000"/>
        </w:rPr>
        <w:t xml:space="preserve"> as regular based only on the congruency of their sides.</w:t>
      </w:r>
      <w:r w:rsidR="003E64AF">
        <w:rPr>
          <w:i/>
          <w:iCs/>
          <w:color w:val="C00000"/>
        </w:rPr>
        <w:t xml:space="preserve"> </w:t>
      </w:r>
      <w:r>
        <w:rPr>
          <w:i/>
          <w:iCs/>
          <w:color w:val="C00000"/>
        </w:rPr>
        <w:t>This may indicate that a student has</w:t>
      </w:r>
      <w:r w:rsidR="00955ECB">
        <w:rPr>
          <w:i/>
          <w:iCs/>
          <w:color w:val="C00000"/>
        </w:rPr>
        <w:t xml:space="preserve"> overlook</w:t>
      </w:r>
      <w:r>
        <w:rPr>
          <w:i/>
          <w:iCs/>
          <w:color w:val="C00000"/>
        </w:rPr>
        <w:t>ed</w:t>
      </w:r>
      <w:r w:rsidR="00955ECB">
        <w:rPr>
          <w:i/>
          <w:iCs/>
          <w:color w:val="C00000"/>
        </w:rPr>
        <w:t xml:space="preserve"> </w:t>
      </w:r>
      <w:r w:rsidR="006770E7">
        <w:rPr>
          <w:i/>
          <w:iCs/>
          <w:color w:val="C00000"/>
        </w:rPr>
        <w:t xml:space="preserve">that the </w:t>
      </w:r>
      <w:r w:rsidR="00955ECB">
        <w:rPr>
          <w:i/>
          <w:iCs/>
          <w:color w:val="C00000"/>
        </w:rPr>
        <w:t xml:space="preserve">interior angles also </w:t>
      </w:r>
      <w:r w:rsidR="002E662A">
        <w:rPr>
          <w:i/>
          <w:iCs/>
          <w:color w:val="C00000"/>
        </w:rPr>
        <w:t>must be congruent for the polygon to be regular</w:t>
      </w:r>
      <w:r>
        <w:rPr>
          <w:i/>
          <w:iCs/>
          <w:color w:val="C00000"/>
        </w:rPr>
        <w:t xml:space="preserve">.  </w:t>
      </w:r>
      <w:r w:rsidR="00120CE3">
        <w:rPr>
          <w:i/>
          <w:iCs/>
          <w:color w:val="C00000"/>
        </w:rPr>
        <w:t xml:space="preserve">Completing a sorting </w:t>
      </w:r>
      <w:r w:rsidR="00A324F2">
        <w:rPr>
          <w:i/>
          <w:iCs/>
          <w:color w:val="C00000"/>
        </w:rPr>
        <w:t xml:space="preserve">activity </w:t>
      </w:r>
      <w:r w:rsidR="00120CE3">
        <w:rPr>
          <w:i/>
          <w:iCs/>
          <w:color w:val="C00000"/>
        </w:rPr>
        <w:t xml:space="preserve">may be beneficial </w:t>
      </w:r>
      <w:r w:rsidR="00A324F2">
        <w:rPr>
          <w:i/>
          <w:iCs/>
          <w:color w:val="C00000"/>
        </w:rPr>
        <w:t xml:space="preserve">for </w:t>
      </w:r>
      <w:r w:rsidR="00120CE3">
        <w:rPr>
          <w:i/>
          <w:iCs/>
          <w:color w:val="C00000"/>
        </w:rPr>
        <w:t>struggling students.  Provide students with</w:t>
      </w:r>
      <w:r w:rsidR="00A324F2">
        <w:rPr>
          <w:i/>
          <w:iCs/>
          <w:color w:val="C00000"/>
        </w:rPr>
        <w:t xml:space="preserve"> digital or </w:t>
      </w:r>
      <w:r w:rsidR="00120CE3">
        <w:rPr>
          <w:i/>
          <w:iCs/>
          <w:color w:val="C00000"/>
        </w:rPr>
        <w:t xml:space="preserve">paper copies of these polygons and ask </w:t>
      </w:r>
      <w:r w:rsidR="00E7075E">
        <w:rPr>
          <w:i/>
          <w:iCs/>
          <w:color w:val="C00000"/>
        </w:rPr>
        <w:t>students</w:t>
      </w:r>
      <w:r w:rsidR="00120CE3">
        <w:rPr>
          <w:i/>
          <w:iCs/>
          <w:color w:val="C00000"/>
        </w:rPr>
        <w:t xml:space="preserve"> to</w:t>
      </w:r>
      <w:r w:rsidR="00E7075E">
        <w:rPr>
          <w:i/>
          <w:iCs/>
          <w:color w:val="C00000"/>
        </w:rPr>
        <w:t xml:space="preserve"> compare and contrast</w:t>
      </w:r>
      <w:r w:rsidR="00120CE3">
        <w:rPr>
          <w:i/>
          <w:iCs/>
          <w:color w:val="C00000"/>
        </w:rPr>
        <w:t xml:space="preserve"> the</w:t>
      </w:r>
      <w:r w:rsidR="00E7075E">
        <w:rPr>
          <w:i/>
          <w:iCs/>
          <w:color w:val="C00000"/>
        </w:rPr>
        <w:t xml:space="preserve"> characteristics of </w:t>
      </w:r>
      <w:r w:rsidR="00120CE3">
        <w:rPr>
          <w:i/>
          <w:iCs/>
          <w:color w:val="C00000"/>
        </w:rPr>
        <w:t xml:space="preserve">the </w:t>
      </w:r>
      <w:r w:rsidR="00E7075E">
        <w:rPr>
          <w:i/>
          <w:iCs/>
          <w:color w:val="C00000"/>
        </w:rPr>
        <w:t>polygons</w:t>
      </w:r>
      <w:r w:rsidR="00120CE3">
        <w:rPr>
          <w:i/>
          <w:iCs/>
          <w:color w:val="C00000"/>
        </w:rPr>
        <w:t>, while also identifying which chara</w:t>
      </w:r>
      <w:r w:rsidR="00870C0F">
        <w:rPr>
          <w:i/>
          <w:iCs/>
          <w:color w:val="C00000"/>
        </w:rPr>
        <w:t>cteristics are common to all regular polygons</w:t>
      </w:r>
      <w:r w:rsidR="00120CE3">
        <w:rPr>
          <w:i/>
          <w:iCs/>
          <w:color w:val="C00000"/>
        </w:rPr>
        <w:t>.</w:t>
      </w:r>
    </w:p>
    <w:p w14:paraId="0C9DBC24" w14:textId="77777777" w:rsidR="004067AC" w:rsidRDefault="004067AC" w:rsidP="005C3CBE">
      <w:pPr>
        <w:spacing w:line="240" w:lineRule="auto"/>
      </w:pPr>
    </w:p>
    <w:p w14:paraId="19AE8F6F" w14:textId="74D33FAB" w:rsidR="004067AC" w:rsidRDefault="00356844" w:rsidP="00356844">
      <w:pPr>
        <w:pStyle w:val="ListParagraph"/>
        <w:numPr>
          <w:ilvl w:val="0"/>
          <w:numId w:val="13"/>
        </w:numPr>
        <w:spacing w:line="240" w:lineRule="auto"/>
      </w:pPr>
      <w:bookmarkStart w:id="7" w:name="_Hlk46940475"/>
      <w:r>
        <w:t xml:space="preserve">Draw </w:t>
      </w:r>
      <w:r w:rsidR="00301B2E">
        <w:t>all</w:t>
      </w:r>
      <w:r>
        <w:t xml:space="preserve"> lines of symmetry </w:t>
      </w:r>
      <w:r w:rsidR="00301B2E">
        <w:t>for</w:t>
      </w:r>
      <w:r>
        <w:t xml:space="preserve"> each polygon.  Fill in the blank with the number of lines of symmetry you drew for each of these polygons.</w:t>
      </w:r>
    </w:p>
    <w:p w14:paraId="4AD1302D" w14:textId="6304A720" w:rsidR="008F5518" w:rsidRPr="00DC0852" w:rsidRDefault="00041103" w:rsidP="00DC0852">
      <w:pPr>
        <w:pStyle w:val="ListParagraph"/>
        <w:spacing w:line="240" w:lineRule="auto"/>
      </w:pPr>
      <w:r>
        <w:rPr>
          <w:noProof/>
          <w:lang w:val="en-US"/>
        </w:rPr>
        <w:drawing>
          <wp:inline distT="0" distB="0" distL="0" distR="0" wp14:anchorId="7101833A" wp14:editId="67300243">
            <wp:extent cx="6508341" cy="1695450"/>
            <wp:effectExtent l="0" t="0" r="6985" b="0"/>
            <wp:docPr id="15" name="Picture 15" descr="A regular hexagon with six congruent sides&#10;A regular triangle with three congruent sides&#10;a regular pentagon with five congruent sides" title="Picture of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522217" cy="1699065"/>
                    </a:xfrm>
                    <a:prstGeom prst="rect">
                      <a:avLst/>
                    </a:prstGeom>
                  </pic:spPr>
                </pic:pic>
              </a:graphicData>
            </a:graphic>
          </wp:inline>
        </w:drawing>
      </w:r>
      <w:bookmarkEnd w:id="7"/>
      <w:r w:rsidR="004A4EA5">
        <w:rPr>
          <w:i/>
          <w:iCs/>
          <w:color w:val="C00000"/>
        </w:rPr>
        <w:t>A common misconception some s</w:t>
      </w:r>
      <w:r w:rsidR="008F5518">
        <w:rPr>
          <w:i/>
          <w:iCs/>
          <w:color w:val="C00000"/>
        </w:rPr>
        <w:t xml:space="preserve">tudents </w:t>
      </w:r>
      <w:r w:rsidR="004A4EA5">
        <w:rPr>
          <w:i/>
          <w:iCs/>
          <w:color w:val="C00000"/>
        </w:rPr>
        <w:t>may</w:t>
      </w:r>
      <w:r w:rsidR="008F5518">
        <w:rPr>
          <w:i/>
          <w:iCs/>
          <w:color w:val="C00000"/>
        </w:rPr>
        <w:t xml:space="preserve"> have </w:t>
      </w:r>
      <w:r w:rsidR="004A4EA5">
        <w:rPr>
          <w:i/>
          <w:iCs/>
          <w:color w:val="C00000"/>
        </w:rPr>
        <w:t xml:space="preserve">is </w:t>
      </w:r>
      <w:r w:rsidR="00F05068">
        <w:rPr>
          <w:i/>
          <w:iCs/>
          <w:color w:val="C00000"/>
        </w:rPr>
        <w:t>that lines of symmetry must be either horizontal or vertical</w:t>
      </w:r>
      <w:r w:rsidR="004A4EA5">
        <w:rPr>
          <w:i/>
          <w:iCs/>
          <w:color w:val="C00000"/>
        </w:rPr>
        <w:t>.  This may indicate that a student</w:t>
      </w:r>
      <w:r w:rsidR="00F05068">
        <w:rPr>
          <w:i/>
          <w:iCs/>
          <w:color w:val="C00000"/>
        </w:rPr>
        <w:t xml:space="preserve"> has</w:t>
      </w:r>
      <w:r w:rsidR="004A4EA5">
        <w:rPr>
          <w:i/>
          <w:iCs/>
          <w:color w:val="C00000"/>
        </w:rPr>
        <w:t xml:space="preserve"> </w:t>
      </w:r>
      <w:r w:rsidR="008F5518">
        <w:rPr>
          <w:i/>
          <w:iCs/>
          <w:color w:val="C00000"/>
        </w:rPr>
        <w:t xml:space="preserve">difficulty </w:t>
      </w:r>
      <w:r w:rsidR="00F05068">
        <w:rPr>
          <w:i/>
          <w:iCs/>
          <w:color w:val="C00000"/>
        </w:rPr>
        <w:t>visualizing</w:t>
      </w:r>
      <w:r w:rsidR="00DC0852">
        <w:rPr>
          <w:i/>
          <w:iCs/>
          <w:color w:val="C00000"/>
        </w:rPr>
        <w:t xml:space="preserve"> the rotation of</w:t>
      </w:r>
      <w:r w:rsidR="00F05068">
        <w:rPr>
          <w:i/>
          <w:iCs/>
          <w:color w:val="C00000"/>
        </w:rPr>
        <w:t xml:space="preserve"> the polygon</w:t>
      </w:r>
      <w:r w:rsidR="00DC0852">
        <w:rPr>
          <w:i/>
          <w:iCs/>
          <w:color w:val="C00000"/>
        </w:rPr>
        <w:t xml:space="preserve"> </w:t>
      </w:r>
      <w:r w:rsidR="00F05068">
        <w:rPr>
          <w:i/>
          <w:iCs/>
          <w:color w:val="C00000"/>
        </w:rPr>
        <w:t>in</w:t>
      </w:r>
      <w:r w:rsidR="00DC0852">
        <w:rPr>
          <w:i/>
          <w:iCs/>
          <w:color w:val="C00000"/>
        </w:rPr>
        <w:t xml:space="preserve"> any </w:t>
      </w:r>
      <w:r w:rsidR="00F05068">
        <w:rPr>
          <w:i/>
          <w:iCs/>
          <w:color w:val="C00000"/>
        </w:rPr>
        <w:t>other</w:t>
      </w:r>
      <w:r w:rsidR="00DC0852">
        <w:rPr>
          <w:i/>
          <w:iCs/>
          <w:color w:val="C00000"/>
        </w:rPr>
        <w:t xml:space="preserve"> position</w:t>
      </w:r>
      <w:r w:rsidR="00F05068">
        <w:rPr>
          <w:i/>
          <w:iCs/>
          <w:color w:val="C00000"/>
        </w:rPr>
        <w:t>.</w:t>
      </w:r>
      <w:r w:rsidR="00DC0852">
        <w:rPr>
          <w:i/>
          <w:iCs/>
          <w:color w:val="C00000"/>
        </w:rPr>
        <w:t xml:space="preserve"> Student struggling with </w:t>
      </w:r>
      <w:r w:rsidR="008F5518">
        <w:rPr>
          <w:i/>
          <w:iCs/>
          <w:color w:val="C00000"/>
        </w:rPr>
        <w:t xml:space="preserve">drawing the lines of symmetry may need hands on experiences with paper folding to help them conceptualize the two congruent parts created by the line of symmetry.  </w:t>
      </w:r>
      <w:r w:rsidR="008F5518" w:rsidRPr="00C82F45">
        <w:rPr>
          <w:i/>
          <w:iCs/>
          <w:color w:val="C00000"/>
        </w:rPr>
        <w:t>Ma</w:t>
      </w:r>
      <w:r w:rsidR="00DC2DE4">
        <w:rPr>
          <w:i/>
          <w:iCs/>
          <w:color w:val="C00000"/>
        </w:rPr>
        <w:t>ny times, students see the polygon</w:t>
      </w:r>
      <w:r w:rsidR="008F5518" w:rsidRPr="00C82F45">
        <w:rPr>
          <w:i/>
          <w:iCs/>
          <w:color w:val="C00000"/>
        </w:rPr>
        <w:t xml:space="preserve"> in only one way, giving them a limited amount of lines of symmetry visible.  For example, they draw a line from the top of the triangle to the bottom, not realizing that there are two additional lines if they turn the triangle.  Hands on explorati</w:t>
      </w:r>
      <w:r w:rsidR="00924FE8">
        <w:rPr>
          <w:i/>
          <w:iCs/>
          <w:color w:val="C00000"/>
        </w:rPr>
        <w:t>on helps them visualize the multiple lines of symmetry</w:t>
      </w:r>
      <w:r w:rsidR="008F5518" w:rsidRPr="00C82F45">
        <w:rPr>
          <w:i/>
          <w:iCs/>
          <w:color w:val="C00000"/>
        </w:rPr>
        <w:t xml:space="preserve">.  Once students do the exploration with a few </w:t>
      </w:r>
      <w:r w:rsidR="00DC2DE4">
        <w:rPr>
          <w:i/>
          <w:iCs/>
          <w:color w:val="C00000"/>
        </w:rPr>
        <w:t xml:space="preserve">regular polygons, </w:t>
      </w:r>
      <w:r w:rsidR="008F5518" w:rsidRPr="00C82F45">
        <w:rPr>
          <w:i/>
          <w:iCs/>
          <w:color w:val="C00000"/>
        </w:rPr>
        <w:t>they</w:t>
      </w:r>
      <w:r w:rsidR="00DC2DE4">
        <w:rPr>
          <w:i/>
          <w:iCs/>
          <w:color w:val="C00000"/>
        </w:rPr>
        <w:t xml:space="preserve"> usually discover that </w:t>
      </w:r>
      <w:r w:rsidR="008F5518" w:rsidRPr="00C82F45">
        <w:rPr>
          <w:i/>
          <w:iCs/>
          <w:color w:val="C00000"/>
        </w:rPr>
        <w:t xml:space="preserve">the number of lines of symmetry for regular polygons is the same as the number of sides and angles.  </w:t>
      </w:r>
    </w:p>
    <w:p w14:paraId="0E4FFE61" w14:textId="270BF202" w:rsidR="00220F74" w:rsidRDefault="00220F74" w:rsidP="00220F74">
      <w:pPr>
        <w:spacing w:line="240" w:lineRule="auto"/>
      </w:pPr>
    </w:p>
    <w:p w14:paraId="104FF153" w14:textId="77777777" w:rsidR="00DC0852" w:rsidRDefault="00DC0852" w:rsidP="00220F74">
      <w:pPr>
        <w:spacing w:line="240" w:lineRule="auto"/>
      </w:pPr>
    </w:p>
    <w:p w14:paraId="04F43B75" w14:textId="77777777" w:rsidR="00220F74" w:rsidRDefault="00220F74" w:rsidP="00220F74">
      <w:pPr>
        <w:pStyle w:val="ListParagraph"/>
        <w:spacing w:line="240" w:lineRule="auto"/>
      </w:pPr>
    </w:p>
    <w:p w14:paraId="45122997" w14:textId="77777777" w:rsidR="00220F74" w:rsidRDefault="00220F74" w:rsidP="00220F74">
      <w:pPr>
        <w:pStyle w:val="ListParagraph"/>
        <w:numPr>
          <w:ilvl w:val="0"/>
          <w:numId w:val="13"/>
        </w:numPr>
        <w:spacing w:line="240" w:lineRule="auto"/>
      </w:pPr>
      <w:r>
        <w:t>Look at the triangles below and complete the statements:</w:t>
      </w:r>
    </w:p>
    <w:p w14:paraId="64D250B5" w14:textId="77777777" w:rsidR="00220F74" w:rsidRDefault="00220F74" w:rsidP="00220F74">
      <w:pPr>
        <w:pStyle w:val="ListParagraph"/>
        <w:spacing w:line="240" w:lineRule="auto"/>
      </w:pPr>
    </w:p>
    <w:p w14:paraId="0BED1BE6" w14:textId="3A49A4A5" w:rsidR="00D75F30" w:rsidRDefault="00147922" w:rsidP="00220F74">
      <w:pPr>
        <w:pStyle w:val="ListParagraph"/>
        <w:spacing w:line="240" w:lineRule="auto"/>
      </w:pPr>
      <w:r>
        <w:rPr>
          <w:noProof/>
          <w:lang w:val="en-US"/>
        </w:rPr>
        <w:drawing>
          <wp:inline distT="0" distB="0" distL="0" distR="0" wp14:anchorId="363E242F" wp14:editId="24EF5AF2">
            <wp:extent cx="4800600" cy="1514475"/>
            <wp:effectExtent l="0" t="0" r="0" b="9525"/>
            <wp:docPr id="16" name="Picture 16" descr="An image of triangle ABC and triangle RST.  Angle C is congruent to angle blank.  Segment AT is congruent to blank.  Anlge T is congruent to angle blank.  Segment RT is congruent to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00600" cy="1514475"/>
                    </a:xfrm>
                    <a:prstGeom prst="rect">
                      <a:avLst/>
                    </a:prstGeom>
                  </pic:spPr>
                </pic:pic>
              </a:graphicData>
            </a:graphic>
          </wp:inline>
        </w:drawing>
      </w:r>
    </w:p>
    <w:p w14:paraId="068E64DC" w14:textId="28B7B880" w:rsidR="000D741A" w:rsidRPr="00147922" w:rsidRDefault="00220F74" w:rsidP="00147922">
      <w:pPr>
        <w:pStyle w:val="ListParagraph"/>
        <w:spacing w:line="240" w:lineRule="auto"/>
      </w:pPr>
      <w:r>
        <w:t>Are the two triangles congruent?  Explain your reasoning.</w:t>
      </w:r>
    </w:p>
    <w:p w14:paraId="6BF3FF78" w14:textId="66CD3679" w:rsidR="001E6527" w:rsidRPr="004A4EA5" w:rsidRDefault="004A4EA5" w:rsidP="004A4EA5">
      <w:pPr>
        <w:spacing w:line="240" w:lineRule="auto"/>
        <w:ind w:left="720"/>
        <w:rPr>
          <w:rFonts w:asciiTheme="minorHAnsi" w:hAnsiTheme="minorHAnsi"/>
          <w:i/>
          <w:color w:val="C00000"/>
        </w:rPr>
      </w:pPr>
      <w:r>
        <w:rPr>
          <w:i/>
          <w:iCs/>
          <w:color w:val="C00000"/>
        </w:rPr>
        <w:t xml:space="preserve">A common misconception some students may have is visualizing the corresponding congruent sides and angles when shapes are rotated or reflected. This may indicate that a student struggles with spatial relationships and potentially with geometric markings that indicate congruency. </w:t>
      </w:r>
      <w:r w:rsidR="0034521B" w:rsidRPr="0034521B">
        <w:rPr>
          <w:rFonts w:asciiTheme="minorHAnsi" w:hAnsiTheme="minorHAnsi"/>
          <w:color w:val="C00000"/>
        </w:rPr>
        <w:t xml:space="preserve">  </w:t>
      </w:r>
      <w:r w:rsidR="00611035">
        <w:rPr>
          <w:rFonts w:asciiTheme="minorHAnsi" w:hAnsiTheme="minorHAnsi"/>
          <w:i/>
          <w:color w:val="C00000"/>
        </w:rPr>
        <w:t>Teachers may wish to utilize the word wall cards and/or co-create anchor charts with the students to help solidify this information.</w:t>
      </w:r>
      <w:r>
        <w:rPr>
          <w:rFonts w:asciiTheme="minorHAnsi" w:hAnsiTheme="minorHAnsi"/>
          <w:i/>
          <w:color w:val="C00000"/>
        </w:rPr>
        <w:t xml:space="preserve">  </w:t>
      </w:r>
      <w:r w:rsidR="002C3577">
        <w:rPr>
          <w:i/>
          <w:iCs/>
          <w:color w:val="C00000"/>
        </w:rPr>
        <w:t xml:space="preserve">Exploring congruent polygons with </w:t>
      </w:r>
      <w:r w:rsidR="001E6527">
        <w:rPr>
          <w:i/>
          <w:iCs/>
          <w:color w:val="C00000"/>
        </w:rPr>
        <w:t xml:space="preserve">manipulatives </w:t>
      </w:r>
      <w:r w:rsidR="002C3577">
        <w:rPr>
          <w:i/>
          <w:iCs/>
          <w:color w:val="C00000"/>
        </w:rPr>
        <w:t>and being able to place them on top of each other may assis</w:t>
      </w:r>
      <w:r w:rsidR="00611035">
        <w:rPr>
          <w:i/>
          <w:iCs/>
          <w:color w:val="C00000"/>
        </w:rPr>
        <w:t>t students in understanding the characteristics that make</w:t>
      </w:r>
      <w:r w:rsidR="002C3577">
        <w:rPr>
          <w:i/>
          <w:iCs/>
          <w:color w:val="C00000"/>
        </w:rPr>
        <w:t xml:space="preserve"> them congruent</w:t>
      </w:r>
      <w:r w:rsidR="001E6527">
        <w:rPr>
          <w:i/>
          <w:iCs/>
          <w:color w:val="C00000"/>
        </w:rPr>
        <w:t xml:space="preserve">.  </w:t>
      </w:r>
      <w:r w:rsidR="002C3577">
        <w:rPr>
          <w:i/>
          <w:iCs/>
          <w:color w:val="C00000"/>
        </w:rPr>
        <w:t xml:space="preserve">Students could also be encouraged to color code corresponding sides and angles to assist with determining congruency.  </w:t>
      </w:r>
    </w:p>
    <w:p w14:paraId="2C4CEAEE" w14:textId="77777777" w:rsidR="00737128" w:rsidRDefault="00737128" w:rsidP="00195C41">
      <w:pPr>
        <w:rPr>
          <w:i/>
          <w:iCs/>
          <w:color w:val="C00000"/>
        </w:rPr>
      </w:pPr>
    </w:p>
    <w:p w14:paraId="56C68606" w14:textId="77777777" w:rsidR="00737128" w:rsidRDefault="00737128" w:rsidP="00195C41">
      <w:pPr>
        <w:rPr>
          <w:i/>
          <w:iCs/>
          <w:color w:val="C00000"/>
        </w:rPr>
      </w:pPr>
    </w:p>
    <w:p w14:paraId="263CC8C9" w14:textId="77777777" w:rsidR="00737128" w:rsidRDefault="00737128" w:rsidP="00195C41">
      <w:pPr>
        <w:rPr>
          <w:i/>
          <w:iCs/>
          <w:color w:val="C00000"/>
        </w:rPr>
      </w:pPr>
    </w:p>
    <w:p w14:paraId="7F93C5A2" w14:textId="77777777" w:rsidR="00737128" w:rsidRDefault="00737128" w:rsidP="00737128">
      <w:pPr>
        <w:spacing w:line="240" w:lineRule="auto"/>
        <w:ind w:firstLine="360"/>
        <w:rPr>
          <w:bCs/>
        </w:rPr>
      </w:pPr>
      <w:r>
        <w:rPr>
          <w:i/>
          <w:iCs/>
        </w:rPr>
        <w:t xml:space="preserve">      </w:t>
      </w:r>
      <w:r w:rsidRPr="00737128">
        <w:rPr>
          <w:iCs/>
        </w:rPr>
        <w:t>4</w:t>
      </w:r>
      <w:r>
        <w:rPr>
          <w:i/>
          <w:iCs/>
        </w:rPr>
        <w:t xml:space="preserve">.  </w:t>
      </w:r>
      <w:r>
        <w:rPr>
          <w:bCs/>
        </w:rPr>
        <w:t>Figure KLMN is congruent to figure WXYZ.</w:t>
      </w:r>
    </w:p>
    <w:p w14:paraId="6311E77D" w14:textId="77777777" w:rsidR="00737128" w:rsidRDefault="00737128" w:rsidP="00737128">
      <w:pPr>
        <w:spacing w:line="240" w:lineRule="auto"/>
        <w:ind w:firstLine="450"/>
        <w:rPr>
          <w:bCs/>
        </w:rPr>
      </w:pPr>
      <w:r>
        <w:rPr>
          <w:noProof/>
          <w:lang w:val="en-US"/>
        </w:rPr>
        <w:drawing>
          <wp:inline distT="0" distB="0" distL="0" distR="0" wp14:anchorId="00779B38" wp14:editId="078A578A">
            <wp:extent cx="5534025" cy="1933575"/>
            <wp:effectExtent l="0" t="0" r="9525" b="9525"/>
            <wp:docPr id="20" name="Picture 20" descr="Figure KLMN and figure WXYZ are shown.  Anlge W equals 110 degrees, angle X equals seventy degrees, angel Y equals eighty-five degrees, angle Z equals ninety-five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34025" cy="1933575"/>
                    </a:xfrm>
                    <a:prstGeom prst="rect">
                      <a:avLst/>
                    </a:prstGeom>
                  </pic:spPr>
                </pic:pic>
              </a:graphicData>
            </a:graphic>
          </wp:inline>
        </w:drawing>
      </w:r>
    </w:p>
    <w:p w14:paraId="40EA8831" w14:textId="77777777" w:rsidR="00737128" w:rsidRDefault="00737128" w:rsidP="00CC6DD8">
      <w:pPr>
        <w:tabs>
          <w:tab w:val="left" w:pos="720"/>
        </w:tabs>
        <w:rPr>
          <w:bCs/>
        </w:rPr>
      </w:pPr>
      <w:r>
        <w:rPr>
          <w:bCs/>
        </w:rPr>
        <w:t xml:space="preserve"> </w:t>
      </w:r>
      <w:r>
        <w:rPr>
          <w:bCs/>
        </w:rPr>
        <w:tab/>
        <w:t xml:space="preserve">What are the measures of angle </w:t>
      </w:r>
      <w:r w:rsidRPr="00011094">
        <w:rPr>
          <w:bCs/>
          <w:i/>
        </w:rPr>
        <w:t>K</w:t>
      </w:r>
      <w:r>
        <w:rPr>
          <w:bCs/>
        </w:rPr>
        <w:t xml:space="preserve"> and angle </w:t>
      </w:r>
      <w:r w:rsidRPr="00011094">
        <w:rPr>
          <w:bCs/>
          <w:i/>
        </w:rPr>
        <w:t>M</w:t>
      </w:r>
      <w:r>
        <w:rPr>
          <w:bCs/>
        </w:rPr>
        <w:t xml:space="preserve">? </w:t>
      </w:r>
    </w:p>
    <w:p w14:paraId="56049D20" w14:textId="0670BBD4" w:rsidR="00F96F4E" w:rsidRDefault="0043153F" w:rsidP="0043153F">
      <w:pPr>
        <w:ind w:left="720"/>
        <w:rPr>
          <w:i/>
          <w:iCs/>
          <w:color w:val="C00000"/>
        </w:rPr>
      </w:pPr>
      <w:r>
        <w:rPr>
          <w:i/>
          <w:iCs/>
          <w:color w:val="C00000"/>
        </w:rPr>
        <w:t>A common misconception some students may have is trying to map one of the figures onto the other</w:t>
      </w:r>
      <w:r w:rsidR="00CC6DD8">
        <w:rPr>
          <w:i/>
          <w:iCs/>
          <w:color w:val="C00000"/>
        </w:rPr>
        <w:t xml:space="preserve"> by using a</w:t>
      </w:r>
      <w:r w:rsidR="00323C32">
        <w:rPr>
          <w:i/>
          <w:iCs/>
          <w:color w:val="C00000"/>
        </w:rPr>
        <w:t xml:space="preserve"> transformation other than a translation</w:t>
      </w:r>
      <w:r>
        <w:rPr>
          <w:i/>
          <w:iCs/>
          <w:color w:val="C00000"/>
        </w:rPr>
        <w:t>.  This may ind</w:t>
      </w:r>
      <w:r w:rsidR="00323C32">
        <w:rPr>
          <w:i/>
          <w:iCs/>
          <w:color w:val="C00000"/>
        </w:rPr>
        <w:t>icate that a student struggles with attempting various transformations such as rotations or reflections.  It may be beneficial for a teacher to help a student understand the statement figure KLMN is congruent to figure WXYZ.  If the two figures are congruent, then the order (position) of the vertices indicate corresponding congruent parts.  Therefore, angle K is congruent to angle W, angle L is congruent to angle X, angle M is congruent to angle Y, and angle N is congruent to angle Z.</w:t>
      </w:r>
      <w:r w:rsidR="00CC6DD8">
        <w:rPr>
          <w:i/>
          <w:iCs/>
          <w:color w:val="C00000"/>
        </w:rPr>
        <w:t xml:space="preserve">  Students could also be encouraged to color code corresponding sides and angles to assist with determining congruency.  </w:t>
      </w:r>
      <w:r w:rsidR="00611035">
        <w:rPr>
          <w:i/>
          <w:iCs/>
          <w:color w:val="C00000"/>
        </w:rPr>
        <w:br w:type="page"/>
      </w:r>
    </w:p>
    <w:p w14:paraId="30975481" w14:textId="77777777" w:rsidR="00556826" w:rsidRDefault="00556826" w:rsidP="00556826">
      <w:pPr>
        <w:pStyle w:val="ListParagraph"/>
        <w:spacing w:line="240" w:lineRule="auto"/>
        <w:rPr>
          <w:bCs/>
        </w:rPr>
      </w:pPr>
    </w:p>
    <w:p w14:paraId="389198B4" w14:textId="77777777" w:rsidR="00556826" w:rsidRDefault="00556826" w:rsidP="00556826">
      <w:pPr>
        <w:pStyle w:val="ListParagraph"/>
        <w:spacing w:line="240" w:lineRule="auto"/>
        <w:rPr>
          <w:bCs/>
        </w:rPr>
      </w:pPr>
    </w:p>
    <w:p w14:paraId="035DA87A" w14:textId="77777777" w:rsidR="00737128" w:rsidRDefault="00737128" w:rsidP="00CC6DD8">
      <w:pPr>
        <w:ind w:firstLine="360"/>
        <w:rPr>
          <w:bCs/>
        </w:rPr>
      </w:pPr>
      <w:r>
        <w:rPr>
          <w:bCs/>
        </w:rPr>
        <w:t>5.   Are the two parallelograms congruent?  Explain your reasoning.</w:t>
      </w:r>
    </w:p>
    <w:p w14:paraId="3B150E96" w14:textId="77777777" w:rsidR="00737128" w:rsidRDefault="00737128" w:rsidP="00737128">
      <w:pPr>
        <w:rPr>
          <w:bCs/>
        </w:rPr>
      </w:pPr>
      <w:r>
        <w:rPr>
          <w:noProof/>
          <w:lang w:val="en-US"/>
        </w:rPr>
        <w:drawing>
          <wp:inline distT="0" distB="0" distL="0" distR="0" wp14:anchorId="15F1B44E" wp14:editId="749ECBC8">
            <wp:extent cx="4705350" cy="2152650"/>
            <wp:effectExtent l="0" t="0" r="0" b="0"/>
            <wp:docPr id="21" name="Picture 21" descr="Figure ABCD and figure JKLM are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05350" cy="2152650"/>
                    </a:xfrm>
                    <a:prstGeom prst="rect">
                      <a:avLst/>
                    </a:prstGeom>
                  </pic:spPr>
                </pic:pic>
              </a:graphicData>
            </a:graphic>
          </wp:inline>
        </w:drawing>
      </w:r>
    </w:p>
    <w:p w14:paraId="15A749FA" w14:textId="424DE553" w:rsidR="00E1227F" w:rsidRPr="004A4EA5" w:rsidRDefault="00CC6DD8" w:rsidP="00E1227F">
      <w:pPr>
        <w:spacing w:line="240" w:lineRule="auto"/>
        <w:ind w:left="720"/>
        <w:rPr>
          <w:rFonts w:asciiTheme="minorHAnsi" w:hAnsiTheme="minorHAnsi"/>
          <w:i/>
          <w:color w:val="C00000"/>
        </w:rPr>
      </w:pPr>
      <w:r>
        <w:rPr>
          <w:bCs/>
          <w:i/>
          <w:color w:val="C00000"/>
        </w:rPr>
        <w:t xml:space="preserve">A common error some students may have is stating these two parallelograms are congruent.  This may indicate that a student is basing their decision on the fact that each figure has two sets of congruent angles without regard to the geometric markings indicating that the shorter side lengths </w:t>
      </w:r>
      <w:r w:rsidR="00E1227F">
        <w:rPr>
          <w:bCs/>
          <w:i/>
          <w:color w:val="C00000"/>
        </w:rPr>
        <w:t xml:space="preserve">of the parallelograms </w:t>
      </w:r>
      <w:r>
        <w:rPr>
          <w:bCs/>
          <w:i/>
          <w:color w:val="C00000"/>
        </w:rPr>
        <w:t xml:space="preserve">are </w:t>
      </w:r>
      <w:r w:rsidR="00E1227F">
        <w:rPr>
          <w:bCs/>
          <w:i/>
          <w:color w:val="C00000"/>
        </w:rPr>
        <w:t xml:space="preserve">not </w:t>
      </w:r>
      <w:r>
        <w:rPr>
          <w:bCs/>
          <w:i/>
          <w:color w:val="C00000"/>
        </w:rPr>
        <w:t>denoted with the same congruent markings.</w:t>
      </w:r>
      <w:r w:rsidR="00E1227F">
        <w:rPr>
          <w:bCs/>
          <w:i/>
          <w:color w:val="C00000"/>
        </w:rPr>
        <w:t xml:space="preserve">  </w:t>
      </w:r>
      <w:r w:rsidR="00E1227F">
        <w:rPr>
          <w:rFonts w:asciiTheme="minorHAnsi" w:hAnsiTheme="minorHAnsi"/>
          <w:i/>
          <w:color w:val="C00000"/>
        </w:rPr>
        <w:t xml:space="preserve">Teachers may wish to utilize the word wall cards and/or co-create anchor charts with the students to help solidify this information.  </w:t>
      </w:r>
      <w:r w:rsidR="00E1227F">
        <w:rPr>
          <w:i/>
          <w:iCs/>
          <w:color w:val="C00000"/>
        </w:rPr>
        <w:t xml:space="preserve">Exploring congruent polygons with manipulatives and being able to place them on top of each other may assist students in understanding the characteristics that make them congruent.  Students could also be encouraged to color code corresponding sides and angles to assist with determining congruency.  </w:t>
      </w:r>
    </w:p>
    <w:p w14:paraId="379DB76B" w14:textId="6AAD4E72" w:rsidR="00CC6DD8" w:rsidRDefault="00CC6DD8" w:rsidP="00CC6DD8">
      <w:pPr>
        <w:ind w:left="720"/>
        <w:rPr>
          <w:bCs/>
          <w:i/>
          <w:color w:val="C00000"/>
        </w:rPr>
      </w:pPr>
    </w:p>
    <w:p w14:paraId="589B9530" w14:textId="77777777" w:rsidR="00CC6DD8" w:rsidRDefault="00CC6DD8" w:rsidP="00CC6DD8">
      <w:pPr>
        <w:ind w:left="720"/>
        <w:rPr>
          <w:bCs/>
          <w:i/>
          <w:color w:val="C00000"/>
        </w:rPr>
      </w:pPr>
    </w:p>
    <w:p w14:paraId="04447BD1" w14:textId="77777777" w:rsidR="00CC6DD8" w:rsidRDefault="00CC6DD8" w:rsidP="00CC6DD8">
      <w:pPr>
        <w:ind w:left="720"/>
        <w:rPr>
          <w:bCs/>
          <w:i/>
          <w:color w:val="C00000"/>
        </w:rPr>
      </w:pPr>
    </w:p>
    <w:p w14:paraId="31DD6829" w14:textId="63B72648" w:rsidR="00737128" w:rsidRPr="00CC6DD8" w:rsidRDefault="00CC6DD8" w:rsidP="00CC6DD8">
      <w:pPr>
        <w:ind w:left="720"/>
        <w:rPr>
          <w:bCs/>
          <w:i/>
        </w:rPr>
      </w:pPr>
      <w:r>
        <w:rPr>
          <w:bCs/>
          <w:i/>
          <w:color w:val="C00000"/>
        </w:rPr>
        <w:t xml:space="preserve"> </w:t>
      </w:r>
      <w:r w:rsidR="00737128" w:rsidRPr="00CC6DD8">
        <w:rPr>
          <w:bCs/>
          <w:i/>
        </w:rPr>
        <w:br w:type="page"/>
      </w:r>
    </w:p>
    <w:p w14:paraId="13657963" w14:textId="77777777" w:rsidR="00737128" w:rsidRPr="00737128" w:rsidRDefault="00737128" w:rsidP="00737128">
      <w:pPr>
        <w:spacing w:line="240" w:lineRule="auto"/>
        <w:ind w:left="360"/>
        <w:rPr>
          <w:bCs/>
        </w:rPr>
      </w:pPr>
      <w:r>
        <w:rPr>
          <w:bCs/>
        </w:rPr>
        <w:lastRenderedPageBreak/>
        <w:t xml:space="preserve">6.    </w:t>
      </w:r>
      <w:r w:rsidRPr="00737128">
        <w:rPr>
          <w:bCs/>
        </w:rPr>
        <w:t>Identify which line segments are congruent.</w:t>
      </w:r>
    </w:p>
    <w:p w14:paraId="7835F28B" w14:textId="0B672EEB" w:rsidR="00737128" w:rsidRDefault="00737128" w:rsidP="00737128">
      <w:pPr>
        <w:pStyle w:val="ListParagraph"/>
        <w:spacing w:line="240" w:lineRule="auto"/>
        <w:rPr>
          <w:bCs/>
        </w:rPr>
      </w:pPr>
    </w:p>
    <w:p w14:paraId="5F211668" w14:textId="48A6C78A" w:rsidR="00737128" w:rsidRDefault="00737128" w:rsidP="00737128">
      <w:pPr>
        <w:rPr>
          <w:bCs/>
        </w:rPr>
      </w:pPr>
      <w:r w:rsidRPr="00BE3463">
        <w:rPr>
          <w:rFonts w:asciiTheme="minorHAnsi" w:hAnsiTheme="minorHAnsi"/>
          <w:noProof/>
          <w:lang w:val="en-US"/>
        </w:rPr>
        <w:t xml:space="preserve"> </w:t>
      </w:r>
      <w:r>
        <w:rPr>
          <w:noProof/>
          <w:lang w:val="en-US"/>
        </w:rPr>
        <w:drawing>
          <wp:inline distT="0" distB="0" distL="0" distR="0" wp14:anchorId="4141DB84" wp14:editId="168F1D63">
            <wp:extent cx="4951562" cy="4931848"/>
            <wp:effectExtent l="19050" t="19050" r="20955" b="21590"/>
            <wp:docPr id="22" name="Picture 22" descr="A coordinate grid is shown with line segments from left to right LM, Tu, RS, WX, JK, and 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96717" cy="5076425"/>
                    </a:xfrm>
                    <a:prstGeom prst="rect">
                      <a:avLst/>
                    </a:prstGeom>
                    <a:ln>
                      <a:solidFill>
                        <a:srgbClr val="000000"/>
                      </a:solidFill>
                    </a:ln>
                  </pic:spPr>
                </pic:pic>
              </a:graphicData>
            </a:graphic>
          </wp:inline>
        </w:drawing>
      </w:r>
    </w:p>
    <w:p w14:paraId="449C01F0" w14:textId="7A8CB737" w:rsidR="00556826" w:rsidRDefault="00556826" w:rsidP="00556826">
      <w:pPr>
        <w:pStyle w:val="ListParagraph"/>
        <w:spacing w:line="240" w:lineRule="auto"/>
        <w:rPr>
          <w:bCs/>
        </w:rPr>
      </w:pPr>
    </w:p>
    <w:p w14:paraId="1E88E2E4" w14:textId="77777777" w:rsidR="00072670" w:rsidRDefault="00E1227F" w:rsidP="00072670">
      <w:pPr>
        <w:spacing w:line="240" w:lineRule="auto"/>
        <w:rPr>
          <w:bCs/>
          <w:i/>
        </w:rPr>
      </w:pPr>
      <w:r w:rsidRPr="00E1227F">
        <w:rPr>
          <w:bCs/>
          <w:i/>
          <w:color w:val="C00000"/>
        </w:rPr>
        <w:t xml:space="preserve">A common error some students </w:t>
      </w:r>
      <w:r w:rsidR="00BF1BF6">
        <w:rPr>
          <w:bCs/>
          <w:i/>
          <w:color w:val="C00000"/>
        </w:rPr>
        <w:t xml:space="preserve">may have is only using a mathematical approach to determining the actual length of the line segments and not identifying all of the congruent segments or misidentifying some segments that are not actually congruent.  This may indicate that a student is subtracting the endpoints without regard to the sign of the endpoint.  For example, some students may determine the length of segment JK by computing 6-1 = 5.  Similarly, the same approach may be used to determine the length of segment LM by computing 5 - 1 = 4 in error.   It may be beneficial to have students use a geometric approach to avoid these types of computational errors.  It might be helpful for students to transpose these line segments onto a number line where all of the segments can be viewed horizontally.   </w:t>
      </w:r>
      <w:r w:rsidR="00032A30">
        <w:rPr>
          <w:bCs/>
          <w:i/>
          <w:color w:val="C00000"/>
        </w:rPr>
        <w:t>Many students might be more familiar with using a number line when trying to determine the lengths of line segments vs. a coordinate grid.</w:t>
      </w:r>
    </w:p>
    <w:p w14:paraId="1AA808FF" w14:textId="77777777" w:rsidR="00072670" w:rsidRDefault="00072670" w:rsidP="00072670">
      <w:pPr>
        <w:spacing w:line="240" w:lineRule="auto"/>
        <w:rPr>
          <w:bCs/>
          <w:i/>
        </w:rPr>
      </w:pPr>
    </w:p>
    <w:p w14:paraId="72972C9E" w14:textId="2499413B" w:rsidR="00EA2956" w:rsidRPr="00072670" w:rsidRDefault="00195C41" w:rsidP="00072670">
      <w:pPr>
        <w:spacing w:line="240" w:lineRule="auto"/>
        <w:rPr>
          <w:bCs/>
          <w:i/>
        </w:rPr>
      </w:pPr>
      <w:r>
        <w:rPr>
          <w:i/>
          <w:iCs/>
          <w:color w:val="C00000"/>
        </w:rPr>
        <w:t xml:space="preserve">Some students may be able to visually determine that these lines are not congruent while others may need to use a ruler.  If a student determines that these lines are congruent, this may indicate that this student needs more hands-on experiences with measuring to the nearest </w:t>
      </w:r>
      <w:r w:rsidR="0098376C">
        <w:rPr>
          <w:i/>
          <w:iCs/>
          <w:color w:val="C00000"/>
        </w:rPr>
        <w:t xml:space="preserve">tenth of a </w:t>
      </w:r>
      <w:r>
        <w:rPr>
          <w:i/>
          <w:iCs/>
          <w:color w:val="C00000"/>
        </w:rPr>
        <w:t>centimeter or fraction of an inch.</w:t>
      </w:r>
    </w:p>
    <w:p w14:paraId="1E9AC45D" w14:textId="16102E31" w:rsidR="00EA2956" w:rsidRPr="001E6527" w:rsidRDefault="00EA2956" w:rsidP="00EA2956">
      <w:pPr>
        <w:rPr>
          <w:i/>
          <w:iCs/>
          <w:color w:val="C00000"/>
        </w:rPr>
      </w:pPr>
    </w:p>
    <w:sectPr w:rsidR="00EA2956" w:rsidRPr="001E6527" w:rsidSect="009D6C76">
      <w:footerReference w:type="default" r:id="rId31"/>
      <w:footerReference w:type="first" r:id="rId3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854B" w14:textId="77777777" w:rsidR="002149BF" w:rsidRDefault="002149BF" w:rsidP="002149BF">
      <w:pPr>
        <w:spacing w:after="0" w:line="240" w:lineRule="auto"/>
      </w:pPr>
      <w:r>
        <w:separator/>
      </w:r>
    </w:p>
  </w:endnote>
  <w:endnote w:type="continuationSeparator" w:id="0">
    <w:p w14:paraId="6C2E05DF" w14:textId="77777777" w:rsidR="002149BF" w:rsidRDefault="002149BF" w:rsidP="0021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3106" w14:textId="77777777" w:rsidR="002149BF" w:rsidRDefault="002149BF" w:rsidP="002149BF">
    <w:pPr>
      <w:pStyle w:val="Footer"/>
      <w:tabs>
        <w:tab w:val="clear" w:pos="9360"/>
        <w:tab w:val="right" w:pos="10800"/>
      </w:tabs>
    </w:pPr>
    <w:r>
      <w:t>Virginia Department of Education</w:t>
    </w:r>
    <w:r>
      <w:tab/>
    </w:r>
    <w:r>
      <w:tab/>
      <w:t>August 2020</w:t>
    </w:r>
  </w:p>
  <w:p w14:paraId="77FCC850" w14:textId="77777777" w:rsidR="002149BF" w:rsidRDefault="00214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C07A" w14:textId="77777777" w:rsidR="009D6C76" w:rsidRDefault="009D6C76" w:rsidP="009D6C76">
    <w:pPr>
      <w:pStyle w:val="Footer"/>
      <w:tabs>
        <w:tab w:val="clear" w:pos="9360"/>
        <w:tab w:val="right" w:pos="10800"/>
      </w:tabs>
      <w:spacing w:after="120"/>
    </w:pPr>
    <w:r>
      <w:t>Virginia Department of Education</w:t>
    </w:r>
    <w:r>
      <w:tab/>
    </w:r>
    <w:r>
      <w:tab/>
      <w:t>August 2020</w:t>
    </w:r>
  </w:p>
  <w:p w14:paraId="1211D81F" w14:textId="77777777" w:rsidR="009D6C76" w:rsidRPr="00A86209" w:rsidRDefault="009D6C76" w:rsidP="009D6C76">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C4DF67D" w14:textId="77777777" w:rsidR="009D6C76" w:rsidRDefault="009D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CDCC" w14:textId="77777777" w:rsidR="002149BF" w:rsidRDefault="002149BF" w:rsidP="002149BF">
      <w:pPr>
        <w:spacing w:after="0" w:line="240" w:lineRule="auto"/>
      </w:pPr>
      <w:r>
        <w:separator/>
      </w:r>
    </w:p>
  </w:footnote>
  <w:footnote w:type="continuationSeparator" w:id="0">
    <w:p w14:paraId="1B503651" w14:textId="77777777" w:rsidR="002149BF" w:rsidRDefault="002149BF" w:rsidP="00214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FD"/>
    <w:multiLevelType w:val="hybridMultilevel"/>
    <w:tmpl w:val="AB7683F2"/>
    <w:lvl w:ilvl="0" w:tplc="A102510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 w15:restartNumberingAfterBreak="0">
    <w:nsid w:val="0A091A93"/>
    <w:multiLevelType w:val="hybridMultilevel"/>
    <w:tmpl w:val="841EE872"/>
    <w:lvl w:ilvl="0" w:tplc="9A5644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00F5"/>
    <w:multiLevelType w:val="hybridMultilevel"/>
    <w:tmpl w:val="DF8A740C"/>
    <w:lvl w:ilvl="0" w:tplc="858CEF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B235F3"/>
    <w:multiLevelType w:val="hybridMultilevel"/>
    <w:tmpl w:val="A35E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27960"/>
    <w:multiLevelType w:val="hybridMultilevel"/>
    <w:tmpl w:val="625CB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A410A"/>
    <w:multiLevelType w:val="hybridMultilevel"/>
    <w:tmpl w:val="7C02C5F8"/>
    <w:lvl w:ilvl="0" w:tplc="DE840CC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24C54A5D"/>
    <w:multiLevelType w:val="hybridMultilevel"/>
    <w:tmpl w:val="518E14E4"/>
    <w:lvl w:ilvl="0" w:tplc="3490F8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8B5BA8"/>
    <w:multiLevelType w:val="hybridMultilevel"/>
    <w:tmpl w:val="094CE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0B5692"/>
    <w:multiLevelType w:val="hybridMultilevel"/>
    <w:tmpl w:val="D57694E0"/>
    <w:lvl w:ilvl="0" w:tplc="1E34FE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F3AF0"/>
    <w:multiLevelType w:val="hybridMultilevel"/>
    <w:tmpl w:val="A278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1400A"/>
    <w:multiLevelType w:val="hybridMultilevel"/>
    <w:tmpl w:val="7472B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E11B9"/>
    <w:multiLevelType w:val="hybridMultilevel"/>
    <w:tmpl w:val="162E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7E66D7"/>
    <w:multiLevelType w:val="hybridMultilevel"/>
    <w:tmpl w:val="281E8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1100AB"/>
    <w:multiLevelType w:val="hybridMultilevel"/>
    <w:tmpl w:val="8F6CAFAC"/>
    <w:lvl w:ilvl="0" w:tplc="DAAECC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F822917"/>
    <w:multiLevelType w:val="hybridMultilevel"/>
    <w:tmpl w:val="3F726A34"/>
    <w:lvl w:ilvl="0" w:tplc="C51AED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44BAC"/>
    <w:multiLevelType w:val="hybridMultilevel"/>
    <w:tmpl w:val="95F8AF32"/>
    <w:lvl w:ilvl="0" w:tplc="4DCA91E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7"/>
  </w:num>
  <w:num w:numId="5">
    <w:abstractNumId w:val="19"/>
  </w:num>
  <w:num w:numId="6">
    <w:abstractNumId w:val="3"/>
  </w:num>
  <w:num w:numId="7">
    <w:abstractNumId w:val="0"/>
  </w:num>
  <w:num w:numId="8">
    <w:abstractNumId w:val="14"/>
  </w:num>
  <w:num w:numId="9">
    <w:abstractNumId w:val="8"/>
  </w:num>
  <w:num w:numId="10">
    <w:abstractNumId w:val="20"/>
  </w:num>
  <w:num w:numId="11">
    <w:abstractNumId w:val="13"/>
  </w:num>
  <w:num w:numId="12">
    <w:abstractNumId w:val="7"/>
  </w:num>
  <w:num w:numId="13">
    <w:abstractNumId w:val="5"/>
  </w:num>
  <w:num w:numId="14">
    <w:abstractNumId w:val="11"/>
  </w:num>
  <w:num w:numId="15">
    <w:abstractNumId w:val="21"/>
  </w:num>
  <w:num w:numId="16">
    <w:abstractNumId w:val="2"/>
  </w:num>
  <w:num w:numId="17">
    <w:abstractNumId w:val="18"/>
  </w:num>
  <w:num w:numId="18">
    <w:abstractNumId w:val="9"/>
  </w:num>
  <w:num w:numId="19">
    <w:abstractNumId w:val="12"/>
  </w:num>
  <w:num w:numId="20">
    <w:abstractNumId w:val="16"/>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D4"/>
    <w:rsid w:val="00011094"/>
    <w:rsid w:val="00032A30"/>
    <w:rsid w:val="00041103"/>
    <w:rsid w:val="00061BE9"/>
    <w:rsid w:val="00072670"/>
    <w:rsid w:val="000C1165"/>
    <w:rsid w:val="000D741A"/>
    <w:rsid w:val="00120CE3"/>
    <w:rsid w:val="00131C96"/>
    <w:rsid w:val="00147922"/>
    <w:rsid w:val="0017299E"/>
    <w:rsid w:val="00184EE7"/>
    <w:rsid w:val="00195C41"/>
    <w:rsid w:val="001A07FC"/>
    <w:rsid w:val="001B3CB7"/>
    <w:rsid w:val="001C7E5C"/>
    <w:rsid w:val="001E6527"/>
    <w:rsid w:val="002022D2"/>
    <w:rsid w:val="002149BF"/>
    <w:rsid w:val="00220F74"/>
    <w:rsid w:val="00230444"/>
    <w:rsid w:val="00230AFA"/>
    <w:rsid w:val="00235C7B"/>
    <w:rsid w:val="00240DF3"/>
    <w:rsid w:val="002C3577"/>
    <w:rsid w:val="002E662A"/>
    <w:rsid w:val="00301B2E"/>
    <w:rsid w:val="00323C32"/>
    <w:rsid w:val="00342B45"/>
    <w:rsid w:val="0034521B"/>
    <w:rsid w:val="00356844"/>
    <w:rsid w:val="003A77C9"/>
    <w:rsid w:val="003C377E"/>
    <w:rsid w:val="003D4BE4"/>
    <w:rsid w:val="003D65CF"/>
    <w:rsid w:val="003E64AF"/>
    <w:rsid w:val="004046BA"/>
    <w:rsid w:val="004067AC"/>
    <w:rsid w:val="0041743B"/>
    <w:rsid w:val="00417FC6"/>
    <w:rsid w:val="00426F69"/>
    <w:rsid w:val="0043153F"/>
    <w:rsid w:val="0044544E"/>
    <w:rsid w:val="00466C81"/>
    <w:rsid w:val="004A04C8"/>
    <w:rsid w:val="004A3290"/>
    <w:rsid w:val="004A4EA5"/>
    <w:rsid w:val="004C3AB8"/>
    <w:rsid w:val="00506A3D"/>
    <w:rsid w:val="00556826"/>
    <w:rsid w:val="00556F9D"/>
    <w:rsid w:val="00580668"/>
    <w:rsid w:val="005A44EE"/>
    <w:rsid w:val="005C3CBE"/>
    <w:rsid w:val="005F22FA"/>
    <w:rsid w:val="006023A1"/>
    <w:rsid w:val="00602785"/>
    <w:rsid w:val="0060441C"/>
    <w:rsid w:val="00611035"/>
    <w:rsid w:val="00625B18"/>
    <w:rsid w:val="00640893"/>
    <w:rsid w:val="006514F2"/>
    <w:rsid w:val="006770E7"/>
    <w:rsid w:val="00680AB4"/>
    <w:rsid w:val="006813BA"/>
    <w:rsid w:val="006A4FD4"/>
    <w:rsid w:val="006E336F"/>
    <w:rsid w:val="006F7D97"/>
    <w:rsid w:val="00704B22"/>
    <w:rsid w:val="007239CF"/>
    <w:rsid w:val="007251E8"/>
    <w:rsid w:val="00725E38"/>
    <w:rsid w:val="00737128"/>
    <w:rsid w:val="00757231"/>
    <w:rsid w:val="007B3002"/>
    <w:rsid w:val="00831A5F"/>
    <w:rsid w:val="00870C0F"/>
    <w:rsid w:val="00874D02"/>
    <w:rsid w:val="008D056C"/>
    <w:rsid w:val="008D7914"/>
    <w:rsid w:val="008E2CC5"/>
    <w:rsid w:val="008F5518"/>
    <w:rsid w:val="00915FBF"/>
    <w:rsid w:val="00924FE8"/>
    <w:rsid w:val="00955ECB"/>
    <w:rsid w:val="00971812"/>
    <w:rsid w:val="0098376C"/>
    <w:rsid w:val="009D6C76"/>
    <w:rsid w:val="00A324F2"/>
    <w:rsid w:val="00A44667"/>
    <w:rsid w:val="00AA06EF"/>
    <w:rsid w:val="00AE552D"/>
    <w:rsid w:val="00AF1E49"/>
    <w:rsid w:val="00B1353C"/>
    <w:rsid w:val="00B256F7"/>
    <w:rsid w:val="00B40BBA"/>
    <w:rsid w:val="00B61A13"/>
    <w:rsid w:val="00BF17F1"/>
    <w:rsid w:val="00BF1BF6"/>
    <w:rsid w:val="00C07649"/>
    <w:rsid w:val="00C27DC2"/>
    <w:rsid w:val="00C41524"/>
    <w:rsid w:val="00C5435B"/>
    <w:rsid w:val="00C80C24"/>
    <w:rsid w:val="00C82F45"/>
    <w:rsid w:val="00CA0760"/>
    <w:rsid w:val="00CA625E"/>
    <w:rsid w:val="00CC6DD8"/>
    <w:rsid w:val="00CF421C"/>
    <w:rsid w:val="00D34DBF"/>
    <w:rsid w:val="00D44D6F"/>
    <w:rsid w:val="00D72F0D"/>
    <w:rsid w:val="00D73D2C"/>
    <w:rsid w:val="00D75F30"/>
    <w:rsid w:val="00DC0852"/>
    <w:rsid w:val="00DC2DE4"/>
    <w:rsid w:val="00DD1F41"/>
    <w:rsid w:val="00DF579A"/>
    <w:rsid w:val="00E017B9"/>
    <w:rsid w:val="00E1227F"/>
    <w:rsid w:val="00E247D3"/>
    <w:rsid w:val="00E7075E"/>
    <w:rsid w:val="00E71A04"/>
    <w:rsid w:val="00E861CA"/>
    <w:rsid w:val="00E87A29"/>
    <w:rsid w:val="00EA05AD"/>
    <w:rsid w:val="00EA2956"/>
    <w:rsid w:val="00F0199D"/>
    <w:rsid w:val="00F05068"/>
    <w:rsid w:val="00F050BF"/>
    <w:rsid w:val="00F135DD"/>
    <w:rsid w:val="00F3001F"/>
    <w:rsid w:val="00F77F5D"/>
    <w:rsid w:val="00F96F4E"/>
    <w:rsid w:val="00FC224A"/>
    <w:rsid w:val="00FE163F"/>
    <w:rsid w:val="00FE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BA00"/>
  <w15:chartTrackingRefBased/>
  <w15:docId w15:val="{F0924BC6-E638-4004-92A8-CE6BBBAD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D4"/>
    <w:rPr>
      <w:rFonts w:ascii="Calibri" w:eastAsia="Calibri" w:hAnsi="Calibri" w:cs="Calibri"/>
      <w:lang w:val="en"/>
    </w:rPr>
  </w:style>
  <w:style w:type="paragraph" w:styleId="Heading1">
    <w:name w:val="heading 1"/>
    <w:basedOn w:val="Normal"/>
    <w:next w:val="Normal"/>
    <w:link w:val="Heading1Char"/>
    <w:uiPriority w:val="9"/>
    <w:qFormat/>
    <w:rsid w:val="006A4FD4"/>
    <w:pPr>
      <w:spacing w:after="0"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FD4"/>
    <w:rPr>
      <w:rFonts w:ascii="Calibri" w:eastAsia="Calibri" w:hAnsi="Calibri" w:cs="Calibri"/>
      <w:b/>
      <w:sz w:val="28"/>
      <w:szCs w:val="28"/>
      <w:lang w:val="en"/>
    </w:rPr>
  </w:style>
  <w:style w:type="paragraph" w:styleId="Title">
    <w:name w:val="Title"/>
    <w:basedOn w:val="Normal"/>
    <w:next w:val="Normal"/>
    <w:link w:val="TitleChar"/>
    <w:uiPriority w:val="10"/>
    <w:qFormat/>
    <w:rsid w:val="006A4FD4"/>
    <w:pPr>
      <w:spacing w:after="0"/>
      <w:jc w:val="center"/>
    </w:pPr>
    <w:rPr>
      <w:b/>
      <w:sz w:val="28"/>
      <w:szCs w:val="28"/>
    </w:rPr>
  </w:style>
  <w:style w:type="character" w:customStyle="1" w:styleId="TitleChar">
    <w:name w:val="Title Char"/>
    <w:basedOn w:val="DefaultParagraphFont"/>
    <w:link w:val="Title"/>
    <w:uiPriority w:val="10"/>
    <w:rsid w:val="006A4FD4"/>
    <w:rPr>
      <w:rFonts w:ascii="Calibri" w:eastAsia="Calibri" w:hAnsi="Calibri" w:cs="Calibri"/>
      <w:b/>
      <w:sz w:val="28"/>
      <w:szCs w:val="28"/>
      <w:lang w:val="en"/>
    </w:rPr>
  </w:style>
  <w:style w:type="character" w:styleId="Hyperlink">
    <w:name w:val="Hyperlink"/>
    <w:basedOn w:val="DefaultParagraphFont"/>
    <w:uiPriority w:val="99"/>
    <w:unhideWhenUsed/>
    <w:rsid w:val="00D72F0D"/>
    <w:rPr>
      <w:color w:val="0563C1" w:themeColor="hyperlink"/>
      <w:u w:val="single"/>
    </w:rPr>
  </w:style>
  <w:style w:type="character" w:customStyle="1" w:styleId="UnresolvedMention">
    <w:name w:val="Unresolved Mention"/>
    <w:basedOn w:val="DefaultParagraphFont"/>
    <w:uiPriority w:val="99"/>
    <w:semiHidden/>
    <w:unhideWhenUsed/>
    <w:rsid w:val="00D72F0D"/>
    <w:rPr>
      <w:color w:val="605E5C"/>
      <w:shd w:val="clear" w:color="auto" w:fill="E1DFDD"/>
    </w:rPr>
  </w:style>
  <w:style w:type="paragraph" w:customStyle="1" w:styleId="Bullet1">
    <w:name w:val="Bullet 1"/>
    <w:basedOn w:val="Normal"/>
    <w:next w:val="Normal"/>
    <w:link w:val="Bullet1Char"/>
    <w:rsid w:val="00D72F0D"/>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D72F0D"/>
    <w:rPr>
      <w:rFonts w:ascii="Times New Roman" w:eastAsia="Times" w:hAnsi="Times New Roman" w:cs="Times New Roman"/>
      <w:sz w:val="20"/>
      <w:szCs w:val="20"/>
    </w:rPr>
  </w:style>
  <w:style w:type="paragraph" w:styleId="ListParagraph">
    <w:name w:val="List Paragraph"/>
    <w:basedOn w:val="Normal"/>
    <w:uiPriority w:val="34"/>
    <w:qFormat/>
    <w:rsid w:val="007251E8"/>
    <w:pPr>
      <w:ind w:left="720"/>
      <w:contextualSpacing/>
    </w:pPr>
  </w:style>
  <w:style w:type="character" w:styleId="PlaceholderText">
    <w:name w:val="Placeholder Text"/>
    <w:basedOn w:val="DefaultParagraphFont"/>
    <w:uiPriority w:val="99"/>
    <w:semiHidden/>
    <w:rsid w:val="004A3290"/>
    <w:rPr>
      <w:color w:val="808080"/>
    </w:rPr>
  </w:style>
  <w:style w:type="character" w:styleId="FollowedHyperlink">
    <w:name w:val="FollowedHyperlink"/>
    <w:basedOn w:val="DefaultParagraphFont"/>
    <w:uiPriority w:val="99"/>
    <w:semiHidden/>
    <w:unhideWhenUsed/>
    <w:rsid w:val="00A44667"/>
    <w:rPr>
      <w:color w:val="954F72" w:themeColor="followedHyperlink"/>
      <w:u w:val="single"/>
    </w:rPr>
  </w:style>
  <w:style w:type="paragraph" w:styleId="Header">
    <w:name w:val="header"/>
    <w:basedOn w:val="Normal"/>
    <w:link w:val="HeaderChar"/>
    <w:uiPriority w:val="99"/>
    <w:unhideWhenUsed/>
    <w:rsid w:val="0021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BF"/>
    <w:rPr>
      <w:rFonts w:ascii="Calibri" w:eastAsia="Calibri" w:hAnsi="Calibri" w:cs="Calibri"/>
      <w:lang w:val="en"/>
    </w:rPr>
  </w:style>
  <w:style w:type="paragraph" w:styleId="Footer">
    <w:name w:val="footer"/>
    <w:basedOn w:val="Normal"/>
    <w:link w:val="FooterChar"/>
    <w:uiPriority w:val="99"/>
    <w:unhideWhenUsed/>
    <w:rsid w:val="0021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BF"/>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290/638046487616130000" TargetMode="External"/><Relationship Id="rId18" Type="http://schemas.openxmlformats.org/officeDocument/2006/relationships/hyperlink" Target="https://teacher.desmos.com/polygraph/custom/560aa8f958fd074d156183a6"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doe.virginia.gov/home/showpublisheddocument/24930/638045381307970000" TargetMode="External"/><Relationship Id="rId34" Type="http://schemas.openxmlformats.org/officeDocument/2006/relationships/theme" Target="theme/theme1.xml"/><Relationship Id="rId7" Type="http://schemas.openxmlformats.org/officeDocument/2006/relationships/hyperlink" Target="https://www.doe.virginia.gov/home/showpublisheddocument/2994/637982464402530000" TargetMode="External"/><Relationship Id="rId12" Type="http://schemas.openxmlformats.org/officeDocument/2006/relationships/hyperlink" Target="https://www.doe.virginia.gov/home/showpublisheddocument/30288/638046487611130000" TargetMode="External"/><Relationship Id="rId17" Type="http://schemas.openxmlformats.org/officeDocument/2006/relationships/hyperlink" Target="https://www.doe.virginia.gov/home/showpublisheddocument/18660/638041054335170000"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e.virginia.gov/home/showpublisheddocument/18658/638041054328600000" TargetMode="External"/><Relationship Id="rId20" Type="http://schemas.openxmlformats.org/officeDocument/2006/relationships/hyperlink" Target="https://www.doe.virginia.gov/home/showpublisheddocument/24922/638045381233430000"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30286/638046487606470000" TargetMode="External"/><Relationship Id="rId24" Type="http://schemas.openxmlformats.org/officeDocument/2006/relationships/hyperlink" Target="https://www.doe.virginia.gov/home/showpublisheddocument/24772/63804537144443000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oe.virginia.gov/home/showpublisheddocument/30378/638046493992430000" TargetMode="External"/><Relationship Id="rId23" Type="http://schemas.openxmlformats.org/officeDocument/2006/relationships/hyperlink" Target="https://www.doe.virginia.gov/home/showpublisheddocument/24764/638045371423800000" TargetMode="External"/><Relationship Id="rId28" Type="http://schemas.openxmlformats.org/officeDocument/2006/relationships/image" Target="media/image4.png"/><Relationship Id="rId10" Type="http://schemas.openxmlformats.org/officeDocument/2006/relationships/hyperlink" Target="https://www.doe.virginia.gov/home/showpublisheddocument/30284/638046487601130000" TargetMode="External"/><Relationship Id="rId19" Type="http://schemas.openxmlformats.org/officeDocument/2006/relationships/hyperlink" Target="https://www.doe.virginia.gov/home/showpublisheddocument/24918/63804538118920000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e.virginia.gov/home/showpublisheddocument/17340/638037671802870000" TargetMode="External"/><Relationship Id="rId14" Type="http://schemas.openxmlformats.org/officeDocument/2006/relationships/hyperlink" Target="https://www.doe.virginia.gov/home/showpublisheddocument/30376/638046493985700000" TargetMode="External"/><Relationship Id="rId22" Type="http://schemas.openxmlformats.org/officeDocument/2006/relationships/hyperlink" Target="https://www.doe.virginia.gov/home/showpublisheddocument/24760/638045371415200000" TargetMode="External"/><Relationship Id="rId27" Type="http://schemas.openxmlformats.org/officeDocument/2006/relationships/image" Target="media/image3.png"/><Relationship Id="rId30" Type="http://schemas.openxmlformats.org/officeDocument/2006/relationships/image" Target="media/image6.png"/><Relationship Id="rId8" Type="http://schemas.openxmlformats.org/officeDocument/2006/relationships/hyperlink" Target="https://www.doe.virginia.gov/home/showpublisheddocument/17338/6380376717963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SOL 6.9 Just in Time Quick Check</vt:lpstr>
    </vt:vector>
  </TitlesOfParts>
  <Company>Virginia Department of Education</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6.9 Just in Time Quick Check</dc:title>
  <dc:subject/>
  <dc:creator>Virginia Department of Education</dc:creator>
  <cp:keywords/>
  <dc:description/>
  <cp:lastModifiedBy>Williams-Faus, Kristin (DOE)</cp:lastModifiedBy>
  <cp:revision>3</cp:revision>
  <dcterms:created xsi:type="dcterms:W3CDTF">2020-09-23T16:33:00Z</dcterms:created>
  <dcterms:modified xsi:type="dcterms:W3CDTF">2022-12-29T20:31:00Z</dcterms:modified>
</cp:coreProperties>
</file>