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0"/>
        <w:tblW w:w="12195" w:type="dxa"/>
        <w:tblInd w:w="-1340" w:type="dxa"/>
        <w:tblLayout w:type="fixed"/>
        <w:tblLook w:val="0600" w:firstRow="0" w:lastRow="0" w:firstColumn="0" w:lastColumn="0" w:noHBand="1" w:noVBand="1"/>
      </w:tblPr>
      <w:tblGrid>
        <w:gridCol w:w="3885"/>
        <w:gridCol w:w="8310"/>
      </w:tblGrid>
      <w:tr w:rsidR="0014677E">
        <w:trPr>
          <w:trHeight w:val="1224"/>
        </w:trPr>
        <w:tc>
          <w:tcPr>
            <w:tcW w:w="3885" w:type="dxa"/>
            <w:tcBorders>
              <w:top w:val="nil"/>
              <w:left w:val="nil"/>
              <w:bottom w:val="nil"/>
              <w:right w:val="nil"/>
            </w:tcBorders>
            <w:shd w:val="clear" w:color="auto" w:fill="auto"/>
            <w:tcMar>
              <w:top w:w="100" w:type="dxa"/>
              <w:left w:w="100" w:type="dxa"/>
              <w:bottom w:w="100" w:type="dxa"/>
              <w:right w:w="100" w:type="dxa"/>
            </w:tcMar>
          </w:tcPr>
          <w:p w:rsidR="0014677E" w:rsidRDefault="001F573B">
            <w:pPr>
              <w:ind w:left="270" w:firstLine="90"/>
            </w:pPr>
            <w:r>
              <w:rPr>
                <w:noProof/>
                <w:lang w:val="en-US"/>
              </w:rPr>
              <w:drawing>
                <wp:inline distT="114300" distB="114300" distL="114300" distR="114300">
                  <wp:extent cx="2033588" cy="793595"/>
                  <wp:effectExtent l="0" t="0" r="0" b="0"/>
                  <wp:docPr id="2" name="image1.png" descr="ECCE Logo"/>
                  <wp:cNvGraphicFramePr/>
                  <a:graphic xmlns:a="http://schemas.openxmlformats.org/drawingml/2006/main">
                    <a:graphicData uri="http://schemas.openxmlformats.org/drawingml/2006/picture">
                      <pic:pic xmlns:pic="http://schemas.openxmlformats.org/drawingml/2006/picture">
                        <pic:nvPicPr>
                          <pic:cNvPr id="0" name="image1.png" descr="ECCE Logo"/>
                          <pic:cNvPicPr preferRelativeResize="0"/>
                        </pic:nvPicPr>
                        <pic:blipFill>
                          <a:blip r:embed="rId8"/>
                          <a:srcRect l="5050" r="12120" b="9219"/>
                          <a:stretch>
                            <a:fillRect/>
                          </a:stretch>
                        </pic:blipFill>
                        <pic:spPr>
                          <a:xfrm>
                            <a:off x="0" y="0"/>
                            <a:ext cx="2033588" cy="793595"/>
                          </a:xfrm>
                          <a:prstGeom prst="rect">
                            <a:avLst/>
                          </a:prstGeom>
                          <a:ln/>
                        </pic:spPr>
                      </pic:pic>
                    </a:graphicData>
                  </a:graphic>
                </wp:inline>
              </w:drawing>
            </w:r>
          </w:p>
        </w:tc>
        <w:tc>
          <w:tcPr>
            <w:tcW w:w="8310" w:type="dxa"/>
            <w:tcBorders>
              <w:top w:val="nil"/>
              <w:left w:val="nil"/>
              <w:bottom w:val="nil"/>
              <w:right w:val="nil"/>
            </w:tcBorders>
            <w:shd w:val="clear" w:color="auto" w:fill="auto"/>
            <w:tcMar>
              <w:top w:w="100" w:type="dxa"/>
              <w:left w:w="100" w:type="dxa"/>
              <w:bottom w:w="100" w:type="dxa"/>
              <w:right w:w="100" w:type="dxa"/>
            </w:tcMar>
            <w:vAlign w:val="center"/>
          </w:tcPr>
          <w:p w:rsidR="0014677E" w:rsidRDefault="0014677E">
            <w:pPr>
              <w:widowControl w:val="0"/>
              <w:rPr>
                <w:b/>
                <w:color w:val="D50032"/>
                <w:sz w:val="33"/>
                <w:szCs w:val="33"/>
              </w:rPr>
            </w:pPr>
            <w:bookmarkStart w:id="0" w:name="_GoBack"/>
            <w:bookmarkEnd w:id="0"/>
          </w:p>
          <w:p w:rsidR="0014677E" w:rsidRPr="00B031FB" w:rsidRDefault="001F573B">
            <w:pPr>
              <w:pStyle w:val="Heading1"/>
              <w:widowControl w:val="0"/>
              <w:rPr>
                <w:rFonts w:ascii="Trebuchet MS" w:hAnsi="Trebuchet MS"/>
              </w:rPr>
            </w:pPr>
            <w:bookmarkStart w:id="1" w:name="_heading=h.gjdgxs" w:colFirst="0" w:colLast="0"/>
            <w:bookmarkEnd w:id="1"/>
            <w:r w:rsidRPr="00B031FB">
              <w:rPr>
                <w:rFonts w:ascii="Trebuchet MS" w:hAnsi="Trebuchet MS"/>
              </w:rPr>
              <w:t>UNIFYING EARLY CHILDHOOD</w:t>
            </w:r>
          </w:p>
          <w:p w:rsidR="0014677E" w:rsidRDefault="001F573B">
            <w:pPr>
              <w:widowControl w:val="0"/>
            </w:pPr>
            <w:r w:rsidRPr="00B031FB">
              <w:rPr>
                <w:rFonts w:ascii="Trebuchet MS" w:hAnsi="Trebuchet MS"/>
                <w:sz w:val="21"/>
                <w:szCs w:val="21"/>
              </w:rPr>
              <w:t>OVERVIEW OF THE CHILD CARE TRANSITION</w:t>
            </w:r>
          </w:p>
        </w:tc>
      </w:tr>
    </w:tbl>
    <w:p w:rsidR="0014677E" w:rsidRDefault="0014677E"/>
    <w:p w:rsidR="0014677E" w:rsidRPr="00B031FB" w:rsidRDefault="001F573B">
      <w:pPr>
        <w:rPr>
          <w:rFonts w:ascii="Trebuchet MS" w:hAnsi="Trebuchet MS"/>
        </w:rPr>
      </w:pPr>
      <w:r w:rsidRPr="00B031FB">
        <w:rPr>
          <w:rFonts w:ascii="Trebuchet MS" w:hAnsi="Trebuchet MS"/>
        </w:rPr>
        <w:t>In 20</w:t>
      </w:r>
      <w:r w:rsidR="00B031FB" w:rsidRPr="00B031FB">
        <w:rPr>
          <w:rFonts w:ascii="Trebuchet MS" w:hAnsi="Trebuchet MS"/>
        </w:rPr>
        <w:t>20</w:t>
      </w:r>
      <w:r w:rsidRPr="00B031FB">
        <w:rPr>
          <w:rFonts w:ascii="Trebuchet MS" w:hAnsi="Trebuchet MS"/>
        </w:rPr>
        <w:t xml:space="preserve">, the Virginia General Assembly passed </w:t>
      </w:r>
      <w:hyperlink r:id="rId9">
        <w:r w:rsidRPr="00B031FB">
          <w:rPr>
            <w:rFonts w:ascii="Trebuchet MS" w:hAnsi="Trebuchet MS"/>
            <w:color w:val="D50032"/>
            <w:u w:val="single"/>
          </w:rPr>
          <w:t>legislation</w:t>
        </w:r>
      </w:hyperlink>
      <w:r w:rsidRPr="00B031FB">
        <w:rPr>
          <w:rFonts w:ascii="Trebuchet MS" w:hAnsi="Trebuchet MS"/>
          <w:color w:val="D50032"/>
        </w:rPr>
        <w:t xml:space="preserve"> </w:t>
      </w:r>
      <w:r w:rsidRPr="00B031FB">
        <w:rPr>
          <w:rFonts w:ascii="Trebuchet MS" w:hAnsi="Trebuchet MS"/>
        </w:rPr>
        <w:t>directing the Board of Education (BOE) to establish a unified public-private system for early care and education, administered by the Department of Education (VDOE). This legislation effectively establishes the VDOE as the single point of accountability for school readiness in the Commonwealth.</w:t>
      </w:r>
    </w:p>
    <w:p w:rsidR="0014677E" w:rsidRPr="00B031FB" w:rsidRDefault="0014677E">
      <w:pPr>
        <w:rPr>
          <w:rFonts w:ascii="Trebuchet MS" w:hAnsi="Trebuchet MS"/>
        </w:rPr>
      </w:pPr>
    </w:p>
    <w:p w:rsidR="0014677E" w:rsidRPr="00B031FB" w:rsidRDefault="001F573B">
      <w:pPr>
        <w:pStyle w:val="Heading2"/>
        <w:spacing w:after="0"/>
        <w:rPr>
          <w:rFonts w:ascii="Trebuchet MS" w:hAnsi="Trebuchet MS"/>
        </w:rPr>
      </w:pPr>
      <w:bookmarkStart w:id="2" w:name="_heading=h.30j0zll" w:colFirst="0" w:colLast="0"/>
      <w:bookmarkEnd w:id="2"/>
      <w:r w:rsidRPr="00B031FB">
        <w:rPr>
          <w:rFonts w:ascii="Trebuchet MS" w:hAnsi="Trebuchet MS"/>
        </w:rPr>
        <w:t>WHAT DOES THIS MEAN FOR CHILD CARE?</w:t>
      </w:r>
    </w:p>
    <w:p w:rsidR="0014677E" w:rsidRPr="00B031FB" w:rsidRDefault="001F573B">
      <w:pPr>
        <w:numPr>
          <w:ilvl w:val="0"/>
          <w:numId w:val="4"/>
        </w:numPr>
        <w:rPr>
          <w:rFonts w:ascii="Trebuchet MS" w:hAnsi="Trebuchet MS"/>
        </w:rPr>
      </w:pPr>
      <w:r w:rsidRPr="00B031FB">
        <w:rPr>
          <w:rFonts w:ascii="Trebuchet MS" w:hAnsi="Trebuchet MS"/>
        </w:rPr>
        <w:t xml:space="preserve">Effective July 1, 2021 VDOE will be in charge of child care licensing and monitoring as well as child care assistance programs. </w:t>
      </w:r>
    </w:p>
    <w:p w:rsidR="0014677E" w:rsidRPr="00B031FB" w:rsidRDefault="001F573B">
      <w:pPr>
        <w:numPr>
          <w:ilvl w:val="0"/>
          <w:numId w:val="4"/>
        </w:numPr>
        <w:rPr>
          <w:rFonts w:ascii="Trebuchet MS" w:hAnsi="Trebuchet MS"/>
        </w:rPr>
      </w:pPr>
      <w:r w:rsidRPr="00B031FB">
        <w:rPr>
          <w:rFonts w:ascii="Trebuchet MS" w:hAnsi="Trebuchet MS"/>
        </w:rPr>
        <w:t xml:space="preserve">The Board will set policy priorities for early childhood through regulations to be implemented by the VDOE.  </w:t>
      </w:r>
    </w:p>
    <w:p w:rsidR="0014677E" w:rsidRPr="00B031FB" w:rsidRDefault="001F573B">
      <w:pPr>
        <w:numPr>
          <w:ilvl w:val="0"/>
          <w:numId w:val="4"/>
        </w:numPr>
        <w:rPr>
          <w:rFonts w:ascii="Trebuchet MS" w:hAnsi="Trebuchet MS"/>
        </w:rPr>
      </w:pPr>
      <w:r w:rsidRPr="00B031FB">
        <w:rPr>
          <w:rFonts w:ascii="Trebuchet MS" w:hAnsi="Trebuchet MS"/>
        </w:rPr>
        <w:t>Early childhood care and education services will continue to be offered through local school divisions, private non-profit and for-profit organizations, faith-based institutions, family day homes, local governmental agencies, and other settings.</w:t>
      </w:r>
    </w:p>
    <w:p w:rsidR="0014677E" w:rsidRPr="00B031FB" w:rsidRDefault="0014677E">
      <w:pPr>
        <w:rPr>
          <w:rFonts w:ascii="Trebuchet MS" w:hAnsi="Trebuchet MS"/>
        </w:rPr>
      </w:pPr>
    </w:p>
    <w:p w:rsidR="0014677E" w:rsidRPr="00B031FB" w:rsidRDefault="001F573B">
      <w:pPr>
        <w:pStyle w:val="Heading2"/>
        <w:spacing w:after="0"/>
        <w:rPr>
          <w:rFonts w:ascii="Trebuchet MS" w:hAnsi="Trebuchet MS"/>
        </w:rPr>
      </w:pPr>
      <w:bookmarkStart w:id="3" w:name="_heading=h.1fob9te" w:colFirst="0" w:colLast="0"/>
      <w:bookmarkEnd w:id="3"/>
      <w:r w:rsidRPr="00B031FB">
        <w:rPr>
          <w:rFonts w:ascii="Trebuchet MS" w:hAnsi="Trebuchet MS"/>
        </w:rPr>
        <w:t>CHILD CARE LICENSING AND MONITORING</w:t>
      </w:r>
    </w:p>
    <w:p w:rsidR="0014677E" w:rsidRPr="00B031FB" w:rsidRDefault="001F573B">
      <w:pPr>
        <w:numPr>
          <w:ilvl w:val="0"/>
          <w:numId w:val="3"/>
        </w:numPr>
        <w:rPr>
          <w:rFonts w:ascii="Trebuchet MS" w:hAnsi="Trebuchet MS"/>
        </w:rPr>
      </w:pPr>
      <w:r w:rsidRPr="00B031FB">
        <w:rPr>
          <w:rFonts w:ascii="Trebuchet MS" w:hAnsi="Trebuchet MS"/>
        </w:rPr>
        <w:t xml:space="preserve">VDOE will be responsible for regulating, inspecting, and monitoring child care programs starting on July 1, 2021. Child care licensing staff will become VDOE employees. </w:t>
      </w:r>
    </w:p>
    <w:p w:rsidR="0014677E" w:rsidRPr="00B031FB" w:rsidRDefault="001F573B">
      <w:pPr>
        <w:numPr>
          <w:ilvl w:val="0"/>
          <w:numId w:val="3"/>
        </w:numPr>
        <w:rPr>
          <w:rFonts w:ascii="Trebuchet MS" w:hAnsi="Trebuchet MS"/>
        </w:rPr>
      </w:pPr>
      <w:r w:rsidRPr="00B031FB">
        <w:rPr>
          <w:rFonts w:ascii="Trebuchet MS" w:hAnsi="Trebuchet MS"/>
        </w:rPr>
        <w:t xml:space="preserve">All licensing rules and regulations will transfer to VDOE as-is. This means child care providers will </w:t>
      </w:r>
      <w:r w:rsidRPr="00B031FB">
        <w:rPr>
          <w:rFonts w:ascii="Trebuchet MS" w:hAnsi="Trebuchet MS"/>
          <w:b/>
        </w:rPr>
        <w:t>not</w:t>
      </w:r>
      <w:r w:rsidRPr="00B031FB">
        <w:rPr>
          <w:rFonts w:ascii="Trebuchet MS" w:hAnsi="Trebuchet MS"/>
        </w:rPr>
        <w:t xml:space="preserve"> need to change how they operate to stay licensed. </w:t>
      </w:r>
    </w:p>
    <w:p w:rsidR="0014677E" w:rsidRPr="00B031FB" w:rsidRDefault="0014677E">
      <w:pPr>
        <w:rPr>
          <w:rFonts w:ascii="Trebuchet MS" w:hAnsi="Trebuchet MS"/>
        </w:rPr>
      </w:pPr>
    </w:p>
    <w:p w:rsidR="0014677E" w:rsidRPr="00B031FB" w:rsidRDefault="001F573B">
      <w:pPr>
        <w:pStyle w:val="Heading2"/>
        <w:spacing w:after="0"/>
        <w:rPr>
          <w:rFonts w:ascii="Trebuchet MS" w:hAnsi="Trebuchet MS"/>
        </w:rPr>
      </w:pPr>
      <w:bookmarkStart w:id="4" w:name="_heading=h.3znysh7" w:colFirst="0" w:colLast="0"/>
      <w:bookmarkEnd w:id="4"/>
      <w:r w:rsidRPr="00B031FB">
        <w:rPr>
          <w:rFonts w:ascii="Trebuchet MS" w:hAnsi="Trebuchet MS"/>
        </w:rPr>
        <w:t>CHILD CARE ASSISTANCE</w:t>
      </w:r>
    </w:p>
    <w:p w:rsidR="0014677E" w:rsidRPr="00B031FB" w:rsidRDefault="001F573B">
      <w:pPr>
        <w:numPr>
          <w:ilvl w:val="0"/>
          <w:numId w:val="1"/>
        </w:numPr>
        <w:rPr>
          <w:rFonts w:ascii="Trebuchet MS" w:hAnsi="Trebuchet MS"/>
        </w:rPr>
      </w:pPr>
      <w:r w:rsidRPr="00B031FB">
        <w:rPr>
          <w:rFonts w:ascii="Trebuchet MS" w:hAnsi="Trebuchet MS"/>
        </w:rPr>
        <w:t xml:space="preserve">VDOE will become “Lead Agency” for the federal Child Care and Development Block Grant (CCDBG), the primary source of funding for child care assistance and quality improvement initiatives. </w:t>
      </w:r>
    </w:p>
    <w:p w:rsidR="0014677E" w:rsidRPr="00B031FB" w:rsidRDefault="001F573B">
      <w:pPr>
        <w:numPr>
          <w:ilvl w:val="0"/>
          <w:numId w:val="1"/>
        </w:numPr>
        <w:rPr>
          <w:rFonts w:ascii="Trebuchet MS" w:hAnsi="Trebuchet MS"/>
        </w:rPr>
      </w:pPr>
      <w:r w:rsidRPr="00B031FB">
        <w:rPr>
          <w:rFonts w:ascii="Trebuchet MS" w:hAnsi="Trebuchet MS"/>
        </w:rPr>
        <w:t xml:space="preserve">VDOE will oversee and set policy for the </w:t>
      </w:r>
      <w:hyperlink r:id="rId10">
        <w:r w:rsidRPr="00B031FB">
          <w:rPr>
            <w:rFonts w:ascii="Trebuchet MS" w:hAnsi="Trebuchet MS"/>
            <w:color w:val="D50032"/>
            <w:u w:val="single"/>
          </w:rPr>
          <w:t>Child Care Subsidy Program</w:t>
        </w:r>
      </w:hyperlink>
      <w:r w:rsidRPr="00B031FB">
        <w:rPr>
          <w:rFonts w:ascii="Trebuchet MS" w:hAnsi="Trebuchet MS"/>
        </w:rPr>
        <w:t xml:space="preserve"> for working families with low incomes. However, VDSS will continue to administer the program via its network of 120 Local Departments of Social Services. Families will still go to their local social service office to apply for assistance and providers will still apply to become a </w:t>
      </w:r>
      <w:hyperlink r:id="rId11">
        <w:r w:rsidRPr="00B031FB">
          <w:rPr>
            <w:rFonts w:ascii="Trebuchet MS" w:hAnsi="Trebuchet MS"/>
            <w:color w:val="D50032"/>
            <w:u w:val="single"/>
          </w:rPr>
          <w:t>subsidy vendor</w:t>
        </w:r>
      </w:hyperlink>
      <w:r w:rsidRPr="00B031FB">
        <w:rPr>
          <w:rFonts w:ascii="Trebuchet MS" w:hAnsi="Trebuchet MS"/>
        </w:rPr>
        <w:t xml:space="preserve"> through VDSS. </w:t>
      </w:r>
    </w:p>
    <w:p w:rsidR="0014677E" w:rsidRPr="00B031FB" w:rsidRDefault="0014677E">
      <w:pPr>
        <w:rPr>
          <w:rFonts w:ascii="Trebuchet MS" w:hAnsi="Trebuchet MS"/>
        </w:rPr>
      </w:pPr>
    </w:p>
    <w:p w:rsidR="0014677E" w:rsidRPr="00B031FB" w:rsidRDefault="001F573B">
      <w:pPr>
        <w:pStyle w:val="Heading2"/>
        <w:spacing w:after="0"/>
        <w:rPr>
          <w:rFonts w:ascii="Trebuchet MS" w:hAnsi="Trebuchet MS"/>
        </w:rPr>
      </w:pPr>
      <w:bookmarkStart w:id="5" w:name="_heading=h.2et92p0" w:colFirst="0" w:colLast="0"/>
      <w:bookmarkEnd w:id="5"/>
      <w:r w:rsidRPr="00B031FB">
        <w:rPr>
          <w:rFonts w:ascii="Trebuchet MS" w:hAnsi="Trebuchet MS"/>
        </w:rPr>
        <w:t>WHAT’S NEXT?</w:t>
      </w:r>
    </w:p>
    <w:p w:rsidR="0014677E" w:rsidRPr="00B031FB" w:rsidRDefault="001F573B">
      <w:pPr>
        <w:numPr>
          <w:ilvl w:val="0"/>
          <w:numId w:val="2"/>
        </w:numPr>
        <w:rPr>
          <w:rFonts w:ascii="Trebuchet MS" w:hAnsi="Trebuchet MS"/>
        </w:rPr>
      </w:pPr>
      <w:r w:rsidRPr="00B031FB">
        <w:rPr>
          <w:rFonts w:ascii="Trebuchet MS" w:hAnsi="Trebuchet MS"/>
        </w:rPr>
        <w:t xml:space="preserve">VDOE is launching an Early Childhood Advisory Committee (ECAC) to advise the BOE on early childhood policies and programs. ECAC members reflect the diversity of early childhood programs, children’s advocates, and child development specialists in the Commonwealth. </w:t>
      </w:r>
    </w:p>
    <w:p w:rsidR="0014677E" w:rsidRPr="00B031FB" w:rsidRDefault="001F573B">
      <w:pPr>
        <w:numPr>
          <w:ilvl w:val="0"/>
          <w:numId w:val="2"/>
        </w:numPr>
        <w:rPr>
          <w:rFonts w:ascii="Trebuchet MS" w:hAnsi="Trebuchet MS"/>
        </w:rPr>
      </w:pPr>
      <w:r w:rsidRPr="00B031FB">
        <w:rPr>
          <w:rFonts w:ascii="Trebuchet MS" w:hAnsi="Trebuchet MS"/>
        </w:rPr>
        <w:t xml:space="preserve">VDOE will review all early childhood policies, regulations, and procedures in partnership with the ECAC and the BOE. Recommended changes will be brought to the Board in late 2021 and early 2022. </w:t>
      </w:r>
    </w:p>
    <w:p w:rsidR="0014677E" w:rsidRPr="00B031FB" w:rsidRDefault="001F573B">
      <w:pPr>
        <w:numPr>
          <w:ilvl w:val="0"/>
          <w:numId w:val="2"/>
        </w:numPr>
        <w:rPr>
          <w:rFonts w:ascii="Trebuchet MS" w:hAnsi="Trebuchet MS"/>
        </w:rPr>
      </w:pPr>
      <w:r w:rsidRPr="00B031FB">
        <w:rPr>
          <w:rFonts w:ascii="Trebuchet MS" w:hAnsi="Trebuchet MS"/>
        </w:rPr>
        <w:t>Over the next three years, VDOE will build and implement a uniform measurement and improvement system for all child care programs that accept public funding.</w:t>
      </w:r>
    </w:p>
    <w:p w:rsidR="0014677E" w:rsidRPr="00B031FB" w:rsidRDefault="001F573B">
      <w:pPr>
        <w:numPr>
          <w:ilvl w:val="0"/>
          <w:numId w:val="2"/>
        </w:numPr>
        <w:rPr>
          <w:rFonts w:ascii="Trebuchet MS" w:hAnsi="Trebuchet MS"/>
        </w:rPr>
      </w:pPr>
      <w:r w:rsidRPr="00B031FB">
        <w:rPr>
          <w:rFonts w:ascii="Trebuchet MS" w:hAnsi="Trebuchet MS"/>
        </w:rPr>
        <w:lastRenderedPageBreak/>
        <w:t xml:space="preserve">More information regarding the transition is available on the </w:t>
      </w:r>
      <w:hyperlink r:id="rId12">
        <w:r w:rsidRPr="00B031FB">
          <w:rPr>
            <w:rFonts w:ascii="Trebuchet MS" w:hAnsi="Trebuchet MS"/>
            <w:color w:val="D50032"/>
            <w:u w:val="single"/>
          </w:rPr>
          <w:t>Building a Unified Early Childhood System website</w:t>
        </w:r>
      </w:hyperlink>
      <w:r w:rsidRPr="00B031FB">
        <w:rPr>
          <w:rFonts w:ascii="Trebuchet MS" w:hAnsi="Trebuchet MS"/>
        </w:rPr>
        <w:t xml:space="preserve">. If you have questions or recommendations, please contact </w:t>
      </w:r>
      <w:hyperlink r:id="rId13">
        <w:r w:rsidRPr="00B031FB">
          <w:rPr>
            <w:rFonts w:ascii="Trebuchet MS" w:hAnsi="Trebuchet MS"/>
            <w:color w:val="D50032"/>
            <w:u w:val="single"/>
          </w:rPr>
          <w:t>EarlyChildhood@doe.virginia.gov</w:t>
        </w:r>
      </w:hyperlink>
    </w:p>
    <w:p w:rsidR="0014677E" w:rsidRPr="00B031FB" w:rsidRDefault="0014677E">
      <w:pPr>
        <w:rPr>
          <w:rFonts w:ascii="Trebuchet MS" w:hAnsi="Trebuchet MS"/>
        </w:rPr>
      </w:pPr>
      <w:bookmarkStart w:id="6" w:name="_heading=h.tyjcwt" w:colFirst="0" w:colLast="0"/>
      <w:bookmarkEnd w:id="6"/>
    </w:p>
    <w:sectPr w:rsidR="0014677E" w:rsidRPr="00B031FB">
      <w:headerReference w:type="default" r:id="rId14"/>
      <w:footerReference w:type="default" r:id="rId15"/>
      <w:pgSz w:w="12240" w:h="15840"/>
      <w:pgMar w:top="36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21C" w:rsidRDefault="00F9021C">
      <w:pPr>
        <w:spacing w:line="240" w:lineRule="auto"/>
      </w:pPr>
      <w:r>
        <w:separator/>
      </w:r>
    </w:p>
  </w:endnote>
  <w:endnote w:type="continuationSeparator" w:id="0">
    <w:p w:rsidR="00F9021C" w:rsidRDefault="00F90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Josefin 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7E" w:rsidRPr="00B031FB" w:rsidRDefault="001F573B">
    <w:pPr>
      <w:jc w:val="right"/>
      <w:rPr>
        <w:rFonts w:ascii="Trebuchet MS" w:hAnsi="Trebuchet MS"/>
        <w:color w:val="D50032"/>
        <w:sz w:val="16"/>
        <w:szCs w:val="16"/>
      </w:rPr>
    </w:pPr>
    <w:r w:rsidRPr="00B031FB">
      <w:rPr>
        <w:rFonts w:ascii="Trebuchet MS" w:hAnsi="Trebuchet MS"/>
      </w:rPr>
      <w:fldChar w:fldCharType="begin"/>
    </w:r>
    <w:r w:rsidRPr="00B031FB">
      <w:rPr>
        <w:rFonts w:ascii="Trebuchet MS" w:hAnsi="Trebuchet MS"/>
      </w:rPr>
      <w:instrText>PAGE</w:instrText>
    </w:r>
    <w:r w:rsidRPr="00B031FB">
      <w:rPr>
        <w:rFonts w:ascii="Trebuchet MS" w:hAnsi="Trebuchet MS"/>
      </w:rPr>
      <w:fldChar w:fldCharType="separate"/>
    </w:r>
    <w:r w:rsidR="005D2D24">
      <w:rPr>
        <w:rFonts w:ascii="Trebuchet MS" w:hAnsi="Trebuchet MS"/>
        <w:noProof/>
      </w:rPr>
      <w:t>1</w:t>
    </w:r>
    <w:r w:rsidRPr="00B031FB">
      <w:rPr>
        <w:rFonts w:ascii="Trebuchet MS" w:hAnsi="Trebuchet MS"/>
      </w:rPr>
      <w:fldChar w:fldCharType="end"/>
    </w:r>
    <w:r w:rsidRPr="00B031FB">
      <w:rPr>
        <w:rFonts w:ascii="Trebuchet MS" w:hAnsi="Trebuchet MS"/>
      </w:rPr>
      <w:t xml:space="preserve"> | </w:t>
    </w:r>
    <w:r w:rsidRPr="00B031FB">
      <w:rPr>
        <w:rFonts w:ascii="Trebuchet MS" w:hAnsi="Trebuchet MS"/>
        <w:sz w:val="16"/>
        <w:szCs w:val="16"/>
      </w:rPr>
      <w:t xml:space="preserve">VIRGINIA DEPARTMENT OF EDUCATION | </w:t>
    </w:r>
    <w:hyperlink r:id="rId1">
      <w:r w:rsidRPr="00B031FB">
        <w:rPr>
          <w:rFonts w:ascii="Trebuchet MS" w:hAnsi="Trebuchet MS"/>
          <w:color w:val="D50032"/>
          <w:sz w:val="16"/>
          <w:szCs w:val="16"/>
          <w:u w:val="single"/>
        </w:rPr>
        <w:t>doe.virginia.gov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21C" w:rsidRDefault="00F9021C">
      <w:pPr>
        <w:spacing w:line="240" w:lineRule="auto"/>
      </w:pPr>
      <w:r>
        <w:separator/>
      </w:r>
    </w:p>
  </w:footnote>
  <w:footnote w:type="continuationSeparator" w:id="0">
    <w:p w:rsidR="00F9021C" w:rsidRDefault="00F902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77E" w:rsidRDefault="0014677E">
    <w:pPr>
      <w:ind w:hanging="1080"/>
    </w:pPr>
  </w:p>
  <w:p w:rsidR="0014677E" w:rsidRDefault="0014677E">
    <w:pPr>
      <w:ind w:hanging="1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62B"/>
    <w:multiLevelType w:val="multilevel"/>
    <w:tmpl w:val="EDA46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FF7413"/>
    <w:multiLevelType w:val="multilevel"/>
    <w:tmpl w:val="8D64A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2663E9"/>
    <w:multiLevelType w:val="multilevel"/>
    <w:tmpl w:val="4EE61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9C5A88"/>
    <w:multiLevelType w:val="multilevel"/>
    <w:tmpl w:val="9FD07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7E"/>
    <w:rsid w:val="0014677E"/>
    <w:rsid w:val="001F573B"/>
    <w:rsid w:val="004470F2"/>
    <w:rsid w:val="005D2D24"/>
    <w:rsid w:val="00B031FB"/>
    <w:rsid w:val="00F90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F4A2"/>
  <w15:docId w15:val="{E02FD525-80CF-428F-AA5D-0A09EE40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osefin Sans" w:eastAsia="Josefin Sans" w:hAnsi="Josefin Sans" w:cs="Josefin Sans"/>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color w:val="D50032"/>
      <w:sz w:val="31"/>
      <w:szCs w:val="31"/>
    </w:rPr>
  </w:style>
  <w:style w:type="paragraph" w:styleId="Heading2">
    <w:name w:val="heading 2"/>
    <w:basedOn w:val="Normal"/>
    <w:next w:val="Normal"/>
    <w:pPr>
      <w:keepNext/>
      <w:keepLines/>
      <w:spacing w:after="200"/>
      <w:outlineLvl w:val="1"/>
    </w:pPr>
    <w:rPr>
      <w:b/>
      <w:color w:val="D500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A2947"/>
    <w:pPr>
      <w:tabs>
        <w:tab w:val="center" w:pos="4680"/>
        <w:tab w:val="right" w:pos="9360"/>
      </w:tabs>
      <w:spacing w:line="240" w:lineRule="auto"/>
    </w:pPr>
  </w:style>
  <w:style w:type="character" w:customStyle="1" w:styleId="HeaderChar">
    <w:name w:val="Header Char"/>
    <w:basedOn w:val="DefaultParagraphFont"/>
    <w:link w:val="Header"/>
    <w:uiPriority w:val="99"/>
    <w:rsid w:val="007A2947"/>
  </w:style>
  <w:style w:type="paragraph" w:styleId="Footer">
    <w:name w:val="footer"/>
    <w:basedOn w:val="Normal"/>
    <w:link w:val="FooterChar"/>
    <w:uiPriority w:val="99"/>
    <w:unhideWhenUsed/>
    <w:rsid w:val="007A2947"/>
    <w:pPr>
      <w:tabs>
        <w:tab w:val="center" w:pos="4680"/>
        <w:tab w:val="right" w:pos="9360"/>
      </w:tabs>
      <w:spacing w:line="240" w:lineRule="auto"/>
    </w:pPr>
  </w:style>
  <w:style w:type="character" w:customStyle="1" w:styleId="FooterChar">
    <w:name w:val="Footer Char"/>
    <w:basedOn w:val="DefaultParagraphFont"/>
    <w:link w:val="Footer"/>
    <w:uiPriority w:val="99"/>
    <w:rsid w:val="007A2947"/>
  </w:style>
  <w:style w:type="character" w:styleId="Hyperlink">
    <w:name w:val="Hyperlink"/>
    <w:basedOn w:val="DefaultParagraphFont"/>
    <w:uiPriority w:val="99"/>
    <w:unhideWhenUsed/>
    <w:rsid w:val="007A2947"/>
    <w:rPr>
      <w:color w:val="0000FF" w:themeColor="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arlyChildhood@doe.virgini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virginia.gov/early-childhood/build-unified-early-childhood-system/index.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virginia.gov/family/cc/interested_subsidy_vendors.cg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ss.virginia.gov/family/cc/assistance.cgi" TargetMode="External"/><Relationship Id="rId4" Type="http://schemas.openxmlformats.org/officeDocument/2006/relationships/settings" Target="settings.xml"/><Relationship Id="rId9" Type="http://schemas.openxmlformats.org/officeDocument/2006/relationships/hyperlink" Target="https://law.lis.virginia.gov/vacode/title22.1/chapter14.1/section22.1-289.03/"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7IxbYVIhHH92mqWh4B8RJXxbLA==">AMUW2mUNv0F6nuvmkI+iMJvl8+xZgEx+vHjl3f+cBBHhQvyDIH1nEpZoYG68ukDETHE81I/Vbat92KaJjiYDDjY1d5YYIO2t0yidxhhGV+puEQCO2X5af8+Q51vDqlwz9GScl3ZDWY4CNLTFzJyfn36U/PCAIZ/wmUmFHNNVMQrL6mrHnaSP7/SelzvCIjNy5CpaRGRG4+h+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Laura (DOE)</dc:creator>
  <cp:lastModifiedBy>VITA Program</cp:lastModifiedBy>
  <cp:revision>3</cp:revision>
  <dcterms:created xsi:type="dcterms:W3CDTF">2021-04-15T11:39:00Z</dcterms:created>
  <dcterms:modified xsi:type="dcterms:W3CDTF">2021-04-15T11:39:00Z</dcterms:modified>
</cp:coreProperties>
</file>