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B" w:rsidRPr="00D638C4" w:rsidRDefault="0071342B" w:rsidP="00D638C4">
      <w:pPr>
        <w:pStyle w:val="Heading1"/>
      </w:pPr>
      <w:r w:rsidRPr="00D638C4">
        <w:t>The Streng</w:t>
      </w:r>
      <w:bookmarkStart w:id="0" w:name="_GoBack"/>
      <w:bookmarkEnd w:id="0"/>
      <w:r w:rsidRPr="00D638C4">
        <w:t xml:space="preserve">thening Career and Technical Education </w:t>
      </w:r>
      <w:proofErr w:type="gramStart"/>
      <w:r w:rsidRPr="00D638C4">
        <w:t>For</w:t>
      </w:r>
      <w:proofErr w:type="gramEnd"/>
      <w:r w:rsidRPr="00D638C4">
        <w:t xml:space="preserve"> The 21st Century Act (Perkins V)</w:t>
      </w:r>
    </w:p>
    <w:p w:rsidR="00D638C4" w:rsidRDefault="00D638C4" w:rsidP="00E933F4">
      <w:pPr>
        <w:spacing w:after="100" w:afterAutospacing="1"/>
        <w:rPr>
          <w:rFonts w:ascii="AvenirNext-Bold" w:eastAsia="Times New Roman" w:hAnsi="AvenirNext-Bold" w:cs="Segoe UI"/>
          <w:b/>
          <w:color w:val="000000"/>
          <w:sz w:val="26"/>
          <w:szCs w:val="26"/>
          <w:lang w:val="en-GB"/>
        </w:rPr>
      </w:pPr>
    </w:p>
    <w:p w:rsidR="00E933F4" w:rsidRPr="00D638C4" w:rsidRDefault="0071342B" w:rsidP="00D638C4">
      <w:pPr>
        <w:pStyle w:val="Heading2"/>
      </w:pPr>
      <w:r w:rsidRPr="00D638C4">
        <w:t xml:space="preserve">Perkins V Section 3. (48) </w:t>
      </w:r>
      <w:r w:rsidR="00E933F4" w:rsidRPr="00D638C4">
        <w:t xml:space="preserve">Special Populations </w:t>
      </w:r>
    </w:p>
    <w:p w:rsidR="0071342B" w:rsidRDefault="00E933F4" w:rsidP="009F29BC">
      <w:pPr>
        <w:pStyle w:val="ListParagraph"/>
        <w:spacing w:after="100" w:afterAutospacing="1"/>
        <w:ind w:left="0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>The term ``special populations'' means</w:t>
      </w:r>
      <w:r w:rsidR="0071342B">
        <w:rPr>
          <w:rFonts w:ascii="AvenirNext-Bold" w:eastAsia="Times New Roman" w:hAnsi="AvenirNext-Bold" w:cs="Segoe UI"/>
          <w:color w:val="000000"/>
          <w:sz w:val="26"/>
          <w:szCs w:val="26"/>
        </w:rPr>
        <w:t>—</w:t>
      </w:r>
    </w:p>
    <w:p w:rsidR="0071342B" w:rsidRDefault="009F29BC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(A) </w:t>
      </w:r>
      <w:r w:rsidR="00E933F4"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individuals with disabilities; </w:t>
      </w:r>
    </w:p>
    <w:p w:rsidR="0071342B" w:rsidRPr="0071342B" w:rsidRDefault="00E933F4" w:rsidP="009F29BC">
      <w:pPr>
        <w:pStyle w:val="ListParagraph"/>
        <w:spacing w:after="100" w:afterAutospacing="1"/>
        <w:ind w:left="1170" w:hanging="450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(B) individuals from economically disadvantaged families, including low-income youth and adults; </w:t>
      </w:r>
    </w:p>
    <w:p w:rsidR="0071342B" w:rsidRDefault="00E933F4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(C) individuals preparing for non-traditional fields; </w:t>
      </w:r>
    </w:p>
    <w:p w:rsidR="0071342B" w:rsidRDefault="00E933F4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(D) single parents, including single pregnant women; </w:t>
      </w:r>
    </w:p>
    <w:p w:rsidR="0071342B" w:rsidRDefault="00E933F4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(E) out-of-workforce individuals; </w:t>
      </w:r>
    </w:p>
    <w:p w:rsidR="0071342B" w:rsidRDefault="00E933F4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>(F)</w:t>
      </w:r>
      <w:r w:rsidR="0071342B"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 </w:t>
      </w:r>
      <w:r w:rsidR="00D638C4">
        <w:rPr>
          <w:rFonts w:ascii="AvenirNext-Bold" w:eastAsia="Times New Roman" w:hAnsi="AvenirNext-Bold" w:cs="Segoe UI"/>
          <w:color w:val="000000"/>
          <w:sz w:val="26"/>
          <w:szCs w:val="26"/>
        </w:rPr>
        <w:t>English learners</w:t>
      </w: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; </w:t>
      </w:r>
    </w:p>
    <w:p w:rsidR="0071342B" w:rsidRDefault="00E933F4" w:rsidP="009F29BC">
      <w:pPr>
        <w:pStyle w:val="ListParagraph"/>
        <w:spacing w:after="100" w:afterAutospacing="1"/>
        <w:ind w:left="1170" w:hanging="450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(G) homeless individuals described in section 725 of the McKinney-Vento Homeless Assistance Act (42 U.S.C. 11434a); </w:t>
      </w:r>
    </w:p>
    <w:p w:rsidR="0071342B" w:rsidRDefault="00E933F4" w:rsidP="009F29BC">
      <w:pPr>
        <w:pStyle w:val="ListParagraph"/>
        <w:spacing w:after="100" w:afterAutospacing="1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 xml:space="preserve">(H) youth who are in, or have aged out of, the foster care system; and </w:t>
      </w:r>
    </w:p>
    <w:p w:rsidR="00E933F4" w:rsidRPr="0071342B" w:rsidRDefault="00E933F4" w:rsidP="009F29BC">
      <w:pPr>
        <w:pStyle w:val="ListParagraph"/>
        <w:spacing w:after="100" w:afterAutospacing="1"/>
        <w:ind w:left="1080" w:hanging="360"/>
        <w:rPr>
          <w:rFonts w:ascii="AvenirNext-Bold" w:eastAsia="Times New Roman" w:hAnsi="AvenirNext-Bold" w:cs="Segoe UI"/>
          <w:color w:val="000000"/>
          <w:sz w:val="26"/>
          <w:szCs w:val="26"/>
        </w:rPr>
      </w:pPr>
      <w:r w:rsidRPr="0071342B">
        <w:rPr>
          <w:rFonts w:ascii="AvenirNext-Bold" w:eastAsia="Times New Roman" w:hAnsi="AvenirNext-Bold" w:cs="Segoe UI"/>
          <w:color w:val="000000"/>
          <w:sz w:val="26"/>
          <w:szCs w:val="26"/>
        </w:rPr>
        <w:t>(I) youth with a parent who— (i) is a member of the armed forces (as such term is defined in section 101(a)(4) of title 10, United States Code); and (ii) is on active duty (as such term is defined in section 101(d)(1) of such title.</w:t>
      </w:r>
    </w:p>
    <w:p w:rsidR="002F0610" w:rsidRDefault="004345B0"/>
    <w:sectPr w:rsidR="002F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513"/>
    <w:multiLevelType w:val="multilevel"/>
    <w:tmpl w:val="0CEE47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3359"/>
    <w:multiLevelType w:val="multilevel"/>
    <w:tmpl w:val="3516FB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262B0"/>
    <w:multiLevelType w:val="multilevel"/>
    <w:tmpl w:val="93720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C3557"/>
    <w:multiLevelType w:val="multilevel"/>
    <w:tmpl w:val="1918F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13835"/>
    <w:multiLevelType w:val="multilevel"/>
    <w:tmpl w:val="2DE40D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D3B14"/>
    <w:multiLevelType w:val="multilevel"/>
    <w:tmpl w:val="52CE2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812CB"/>
    <w:multiLevelType w:val="hybridMultilevel"/>
    <w:tmpl w:val="60C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D78"/>
    <w:multiLevelType w:val="multilevel"/>
    <w:tmpl w:val="DADCE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660A1"/>
    <w:multiLevelType w:val="multilevel"/>
    <w:tmpl w:val="7158A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61FC4"/>
    <w:multiLevelType w:val="multilevel"/>
    <w:tmpl w:val="9F922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4"/>
    <w:rsid w:val="00287A65"/>
    <w:rsid w:val="004345B0"/>
    <w:rsid w:val="005C52D9"/>
    <w:rsid w:val="0071342B"/>
    <w:rsid w:val="009F29BC"/>
    <w:rsid w:val="00C168D8"/>
    <w:rsid w:val="00D638C4"/>
    <w:rsid w:val="00E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F522-050C-4094-8565-0D9DE250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F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8C4"/>
    <w:pPr>
      <w:spacing w:after="100" w:afterAutospacing="1"/>
      <w:jc w:val="center"/>
      <w:outlineLvl w:val="0"/>
    </w:pPr>
    <w:rPr>
      <w:rFonts w:ascii="AvenirNext-Bold" w:eastAsia="Times New Roman" w:hAnsi="AvenirNext-Bold" w:cs="Segoe UI"/>
      <w:b/>
      <w:color w:val="000000"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8C4"/>
    <w:pPr>
      <w:spacing w:after="100" w:afterAutospacing="1"/>
      <w:outlineLvl w:val="1"/>
    </w:pPr>
    <w:rPr>
      <w:rFonts w:ascii="AvenirNext-Bold" w:eastAsia="Times New Roman" w:hAnsi="AvenirNext-Bold" w:cs="Segoe UI"/>
      <w:b/>
      <w:color w:val="00000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8C4"/>
    <w:rPr>
      <w:rFonts w:ascii="AvenirNext-Bold" w:eastAsia="Times New Roman" w:hAnsi="AvenirNext-Bold" w:cs="Segoe UI"/>
      <w:b/>
      <w:color w:val="00000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38C4"/>
    <w:rPr>
      <w:rFonts w:ascii="AvenirNext-Bold" w:eastAsia="Times New Roman" w:hAnsi="AvenirNext-Bold" w:cs="Segoe UI"/>
      <w:b/>
      <w:color w:val="000000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V Special Populations Definitions</vt:lpstr>
    </vt:vector>
  </TitlesOfParts>
  <Company>Virginia IT Infrastructure Partnership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Special Populations Definitions</dc:title>
  <dc:subject/>
  <dc:creator>Hatch, William (DOE)</dc:creator>
  <cp:keywords/>
  <dc:description/>
  <cp:lastModifiedBy>VITA Program</cp:lastModifiedBy>
  <cp:revision>2</cp:revision>
  <dcterms:created xsi:type="dcterms:W3CDTF">2021-10-21T17:55:00Z</dcterms:created>
  <dcterms:modified xsi:type="dcterms:W3CDTF">2021-10-21T17:55:00Z</dcterms:modified>
</cp:coreProperties>
</file>