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A4" w:rsidRPr="00514875" w:rsidRDefault="00C87CBA" w:rsidP="00514875">
      <w:pPr>
        <w:pStyle w:val="Heading1"/>
      </w:pPr>
      <w:bookmarkStart w:id="0" w:name="_GoBack"/>
      <w:bookmarkEnd w:id="0"/>
      <w:r w:rsidRPr="00514875">
        <w:t>CTE Size, Scope and Quality</w:t>
      </w:r>
    </w:p>
    <w:p w:rsidR="00C87CBA" w:rsidRDefault="00C87CBA"/>
    <w:p w:rsidR="00C87CBA" w:rsidRDefault="0076117D">
      <w:r w:rsidRPr="0076117D">
        <w:t>The Stren</w:t>
      </w:r>
      <w:r>
        <w:t>g</w:t>
      </w:r>
      <w:r w:rsidRPr="0076117D">
        <w:t xml:space="preserve">thening Career and Technical Education for the 21st Century Act (Perkins V)  requires that each </w:t>
      </w:r>
      <w:r w:rsidR="00C87CBA" w:rsidRPr="00C87CBA">
        <w:t xml:space="preserve">career and technical education program </w:t>
      </w:r>
      <w:r>
        <w:t xml:space="preserve">be of </w:t>
      </w:r>
      <w:r w:rsidR="00C87CBA" w:rsidRPr="00C87CBA">
        <w:t>such size, scope, and quality to bring about improvement in the quality of career and technical education programs. (Sec. 134(c)(2)(B) and (Sec. 135(b))</w:t>
      </w:r>
    </w:p>
    <w:p w:rsidR="00C87CBA" w:rsidRDefault="00C87CBA"/>
    <w:p w:rsidR="00C87CBA" w:rsidRPr="00514875" w:rsidRDefault="00C87CBA" w:rsidP="00514875">
      <w:pPr>
        <w:pStyle w:val="Heading2"/>
        <w:rPr>
          <w:b/>
        </w:rPr>
      </w:pPr>
      <w:r w:rsidRPr="00514875">
        <w:rPr>
          <w:b/>
        </w:rPr>
        <w:t>Size:</w:t>
      </w:r>
    </w:p>
    <w:p w:rsidR="00C87CBA" w:rsidRDefault="00C87CBA" w:rsidP="00C87CBA">
      <w:pPr>
        <w:pStyle w:val="ListParagraph"/>
        <w:numPr>
          <w:ilvl w:val="0"/>
          <w:numId w:val="1"/>
        </w:numPr>
      </w:pPr>
      <w:r>
        <w:t>A minimum of 11 courses in career and technical education is offered in each secondary school.  (Standards of Accreditation 8 VAC 20-131-100.B)</w:t>
      </w:r>
    </w:p>
    <w:p w:rsidR="00C87CBA" w:rsidRDefault="00C87CBA" w:rsidP="00C87CBA"/>
    <w:p w:rsidR="00C87CBA" w:rsidRDefault="00C87CBA" w:rsidP="00514875">
      <w:pPr>
        <w:pStyle w:val="Heading2"/>
      </w:pPr>
      <w:r w:rsidRPr="00514875">
        <w:rPr>
          <w:b/>
        </w:rPr>
        <w:t>Scope</w:t>
      </w:r>
      <w:r>
        <w:t>:</w:t>
      </w:r>
    </w:p>
    <w:p w:rsidR="00C87CBA" w:rsidRDefault="00C87CBA" w:rsidP="00C87CBA">
      <w:pPr>
        <w:pStyle w:val="ListParagraph"/>
        <w:numPr>
          <w:ilvl w:val="0"/>
          <w:numId w:val="1"/>
        </w:numPr>
      </w:pPr>
      <w:r>
        <w:t>At least three different career and technical education programs, not courses, that prepare students as a career and technical education completer are provided.  (Standards of Accreditation 8 VAC 20-131-100.A.1.)</w:t>
      </w:r>
    </w:p>
    <w:p w:rsidR="00C87CBA" w:rsidRDefault="00C87CBA" w:rsidP="00C87CBA">
      <w:pPr>
        <w:pStyle w:val="ListParagraph"/>
        <w:numPr>
          <w:ilvl w:val="0"/>
          <w:numId w:val="1"/>
        </w:numPr>
      </w:pPr>
      <w:r>
        <w:t>Instruction in career and technical exploration is provided in each middle school.  (Standards of Accreditation 8 VAC 20-131-90.B)</w:t>
      </w:r>
    </w:p>
    <w:p w:rsidR="00C87CBA" w:rsidRDefault="00C87CBA" w:rsidP="00C87CBA"/>
    <w:p w:rsidR="00C87CBA" w:rsidRDefault="00C87CBA" w:rsidP="00514875">
      <w:pPr>
        <w:pStyle w:val="Heading2"/>
      </w:pPr>
      <w:r w:rsidRPr="00514875">
        <w:rPr>
          <w:b/>
        </w:rPr>
        <w:t>Quality</w:t>
      </w:r>
      <w:r>
        <w:t>:</w:t>
      </w:r>
    </w:p>
    <w:p w:rsidR="00C87CBA" w:rsidRDefault="00C87CBA" w:rsidP="00C87CBA">
      <w:pPr>
        <w:pStyle w:val="ListParagraph"/>
        <w:numPr>
          <w:ilvl w:val="0"/>
          <w:numId w:val="2"/>
        </w:numPr>
      </w:pPr>
      <w:r>
        <w:t>Career and technical education programs incorporated into the K through 12 curricula that include:·</w:t>
      </w:r>
    </w:p>
    <w:p w:rsidR="00C87CBA" w:rsidRDefault="00C87CBA" w:rsidP="00C87CBA">
      <w:pPr>
        <w:pStyle w:val="ListParagraph"/>
        <w:numPr>
          <w:ilvl w:val="1"/>
          <w:numId w:val="2"/>
        </w:numPr>
      </w:pPr>
      <w:r>
        <w:t>Knowledge of careers and all types of employment opportunities including, but not limited to, apprenticeships, entrepreneurship and small business ownership, the military, and the teaching profession, and emphasize the advantages of completing school with marketable skills;</w:t>
      </w:r>
    </w:p>
    <w:p w:rsidR="00C87CBA" w:rsidRDefault="00C87CBA" w:rsidP="00C87CBA">
      <w:pPr>
        <w:pStyle w:val="ListParagraph"/>
        <w:numPr>
          <w:ilvl w:val="1"/>
          <w:numId w:val="2"/>
        </w:numPr>
      </w:pPr>
      <w:r>
        <w:t>Career exploration opportunities in the middle school grades; and</w:t>
      </w:r>
    </w:p>
    <w:p w:rsidR="00C87CBA" w:rsidRDefault="00C87CBA" w:rsidP="00C87CBA">
      <w:pPr>
        <w:pStyle w:val="ListParagraph"/>
        <w:numPr>
          <w:ilvl w:val="1"/>
          <w:numId w:val="2"/>
        </w:numPr>
      </w:pPr>
      <w:r>
        <w:t>Competency-based career and technical education programs that integrate academic outcomes, career guidance, and job-seeking skills for all secondary students. Programs must be based upon labor market needs and student interest.  Career guidance shall include counseling about available employment opportunities and placement services for students exiting school.  Each school board shall develop and implement a plan to ensure compliance with the provisions of this subdivision.  Such plan shall be developed with the input of area business and industry representatives and local community colleges and shall be submitted to the Superintendent of Public Instruction in accordance with the timelines established by federal law. (Standards of Quality § 22.1-253.13:4.D.5)</w:t>
      </w:r>
    </w:p>
    <w:p w:rsidR="00C87CBA" w:rsidRDefault="00C87CBA" w:rsidP="00C87CBA">
      <w:pPr>
        <w:pStyle w:val="ListParagraph"/>
        <w:numPr>
          <w:ilvl w:val="1"/>
          <w:numId w:val="2"/>
        </w:numPr>
      </w:pPr>
      <w:r w:rsidRPr="00C87CBA">
        <w:t xml:space="preserve">Establish the requirements for a standard and an advanced studies high school diploma, which shall each include at least one credit in fine or performing arts or career and technical education and one credit in United States and Virginia history.  The requirements for a standard high school diploma shall, however, include at least two sequential electives chosen from a concentration of courses selected from a variety of options that may be planned to ensure the completion of a focused sequence of elective courses.  Such focused sequence of elective courses shall provide a foundation for further education or training or preparation for </w:t>
      </w:r>
      <w:r w:rsidRPr="00C87CBA">
        <w:lastRenderedPageBreak/>
        <w:t>employment.  The advanced studies diploma shall be the recommended diploma for students pursuing baccalaureate study.  Both the standard and the advanced studies diploma shall prepare students for post-secondary education and the career readiness required by the Commonwealth's economy.  (Standards of Quality § 22.1-253.13:4.D.2.)  Note:  Requirements for graduation (effective for the students entering ninth grade prior to the 2018-2019 school year) (8VAC 20-131-50).  Requirements for graduat</w:t>
      </w:r>
      <w:r>
        <w:t>i</w:t>
      </w:r>
      <w:r w:rsidRPr="00C87CBA">
        <w:t>on (effective for students who enter the</w:t>
      </w:r>
      <w:r>
        <w:t xml:space="preserve"> </w:t>
      </w:r>
      <w:r w:rsidRPr="00C87CBA">
        <w:t>ninth grade in the 2018-2019 school year) (8VAC 20-131-51).</w:t>
      </w:r>
    </w:p>
    <w:p w:rsidR="0076117D" w:rsidRDefault="0076117D" w:rsidP="0076117D">
      <w:pPr>
        <w:pStyle w:val="ListParagraph"/>
        <w:ind w:left="1440"/>
      </w:pPr>
    </w:p>
    <w:p w:rsidR="0076117D" w:rsidRDefault="0076117D" w:rsidP="0076117D">
      <w:pPr>
        <w:pStyle w:val="ListParagraph"/>
        <w:numPr>
          <w:ilvl w:val="1"/>
          <w:numId w:val="2"/>
        </w:numPr>
      </w:pPr>
      <w:r>
        <w:t>Provide for the award of verified units of credit for passing scores on industry certifications, state licensure examinations, and national occupational competency assessments approved by the Board of Education.  School boards shall report annually to the Board of Education the number of Board-approved industry certifications obtained, state licensure examinations passed, national occupational competency assessments passed, Virginia workplace readiness skills assessments passed, and the number of career and technical education completers who graduated.  These numbers shall be reported as separate categories on the School Performance Report Card.  In addition, the Board may:</w:t>
      </w:r>
    </w:p>
    <w:p w:rsidR="0076117D" w:rsidRDefault="0076117D" w:rsidP="0076117D">
      <w:pPr>
        <w:pStyle w:val="ListParagraph"/>
        <w:numPr>
          <w:ilvl w:val="2"/>
          <w:numId w:val="2"/>
        </w:numPr>
      </w:pPr>
      <w:r w:rsidRPr="00C87CBA">
        <w:t>For the purpose of awarding verified units of credit, approve the use of additional or substitute tests for the correlated Standards of Learning assessment, such as academic achievement tests, industry certifications, or state</w:t>
      </w:r>
      <w:r>
        <w:t xml:space="preserve"> </w:t>
      </w:r>
      <w:r w:rsidRPr="00C87CBA">
        <w:t>licensure examinations; and</w:t>
      </w:r>
    </w:p>
    <w:p w:rsidR="0076117D" w:rsidRDefault="0076117D" w:rsidP="0076117D">
      <w:pPr>
        <w:pStyle w:val="ListParagraph"/>
        <w:numPr>
          <w:ilvl w:val="2"/>
          <w:numId w:val="2"/>
        </w:numPr>
      </w:pPr>
      <w:r w:rsidRPr="00C87CBA">
        <w:t>Permit students completing career and technical education programs designed to enable such students to pass such industry certification examinations or state licensure examinations to be awarded, upon obtaining satisfactory scores on such industry certification or licensure examinations, the appropriate verified units of credit for one or more career and technical education classes into which relevant Standards of Learning for various classes taught at the same level have been integrated.  Such industry certification and state licensure examinations may cover relevant Standards of Learning for various required classes and may, at the discretion of the Board, address some Standards of Learning for several required classes.  (Standards of Quality § 22.1-253.13:4.D.12.)</w:t>
      </w:r>
    </w:p>
    <w:sectPr w:rsidR="0076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206E7"/>
    <w:multiLevelType w:val="hybridMultilevel"/>
    <w:tmpl w:val="B2B4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77D40"/>
    <w:multiLevelType w:val="hybridMultilevel"/>
    <w:tmpl w:val="663A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A"/>
    <w:rsid w:val="00514875"/>
    <w:rsid w:val="0076117D"/>
    <w:rsid w:val="00B561A4"/>
    <w:rsid w:val="00C873B2"/>
    <w:rsid w:val="00C8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F5DE7-66ED-4BA9-9549-EFB62FDA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875"/>
    <w:pPr>
      <w:jc w:val="center"/>
      <w:outlineLvl w:val="0"/>
    </w:pPr>
    <w:rPr>
      <w:b/>
      <w:sz w:val="32"/>
      <w:szCs w:val="32"/>
    </w:rPr>
  </w:style>
  <w:style w:type="paragraph" w:styleId="Heading2">
    <w:name w:val="heading 2"/>
    <w:basedOn w:val="Normal"/>
    <w:next w:val="Normal"/>
    <w:link w:val="Heading2Char"/>
    <w:uiPriority w:val="9"/>
    <w:unhideWhenUsed/>
    <w:qFormat/>
    <w:rsid w:val="0051487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CBA"/>
    <w:pPr>
      <w:ind w:left="720"/>
      <w:contextualSpacing/>
    </w:pPr>
  </w:style>
  <w:style w:type="character" w:customStyle="1" w:styleId="Heading1Char">
    <w:name w:val="Heading 1 Char"/>
    <w:basedOn w:val="DefaultParagraphFont"/>
    <w:link w:val="Heading1"/>
    <w:uiPriority w:val="9"/>
    <w:rsid w:val="00514875"/>
    <w:rPr>
      <w:b/>
      <w:sz w:val="32"/>
      <w:szCs w:val="32"/>
    </w:rPr>
  </w:style>
  <w:style w:type="character" w:customStyle="1" w:styleId="Heading2Char">
    <w:name w:val="Heading 2 Char"/>
    <w:basedOn w:val="DefaultParagraphFont"/>
    <w:link w:val="Heading2"/>
    <w:uiPriority w:val="9"/>
    <w:rsid w:val="0051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6052">
      <w:bodyDiv w:val="1"/>
      <w:marLeft w:val="0"/>
      <w:marRight w:val="0"/>
      <w:marTop w:val="0"/>
      <w:marBottom w:val="0"/>
      <w:divBdr>
        <w:top w:val="none" w:sz="0" w:space="0" w:color="auto"/>
        <w:left w:val="none" w:sz="0" w:space="0" w:color="auto"/>
        <w:bottom w:val="none" w:sz="0" w:space="0" w:color="auto"/>
        <w:right w:val="none" w:sz="0" w:space="0" w:color="auto"/>
      </w:divBdr>
    </w:div>
    <w:div w:id="330137113">
      <w:bodyDiv w:val="1"/>
      <w:marLeft w:val="0"/>
      <w:marRight w:val="0"/>
      <w:marTop w:val="0"/>
      <w:marBottom w:val="0"/>
      <w:divBdr>
        <w:top w:val="none" w:sz="0" w:space="0" w:color="auto"/>
        <w:left w:val="none" w:sz="0" w:space="0" w:color="auto"/>
        <w:bottom w:val="none" w:sz="0" w:space="0" w:color="auto"/>
        <w:right w:val="none" w:sz="0" w:space="0" w:color="auto"/>
      </w:divBdr>
    </w:div>
    <w:div w:id="11036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CTE Size Scope Quality</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Size Scope Quality</dc:title>
  <dc:creator>winuser</dc:creator>
  <cp:lastModifiedBy>VITA Program</cp:lastModifiedBy>
  <cp:revision>2</cp:revision>
  <dcterms:created xsi:type="dcterms:W3CDTF">2021-10-21T17:56:00Z</dcterms:created>
  <dcterms:modified xsi:type="dcterms:W3CDTF">2021-10-21T17:56:00Z</dcterms:modified>
</cp:coreProperties>
</file>