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D67523">
        <w:t>Bristol City Public Schools</w:t>
      </w:r>
    </w:p>
    <w:p w:rsidR="00E63DC5" w:rsidRDefault="00E63DC5" w:rsidP="00E63DC5">
      <w:pPr>
        <w:pStyle w:val="NormalTNR"/>
      </w:pPr>
      <w:r w:rsidRPr="008B62AA">
        <w:rPr>
          <w:b/>
        </w:rPr>
        <w:t>Report Publication Date:</w:t>
      </w:r>
      <w:r>
        <w:t xml:space="preserve"> </w:t>
      </w:r>
      <w:r w:rsidR="00D67523">
        <w:t>January 12, 2018</w:t>
      </w:r>
    </w:p>
    <w:p w:rsidR="00E63DC5" w:rsidRDefault="00E63DC5" w:rsidP="00E63DC5">
      <w:pPr>
        <w:pStyle w:val="NormalTNR"/>
      </w:pPr>
      <w:r w:rsidRPr="008B62AA">
        <w:rPr>
          <w:b/>
        </w:rPr>
        <w:t>Administrative Review Dates:</w:t>
      </w:r>
      <w:r>
        <w:t xml:space="preserve"> </w:t>
      </w:r>
      <w:r w:rsidR="00D67523">
        <w:t>October 31 – November 3, 2017</w:t>
      </w:r>
    </w:p>
    <w:p w:rsidR="00E63DC5" w:rsidRDefault="00E63DC5" w:rsidP="00E63DC5">
      <w:pPr>
        <w:pStyle w:val="NormalTNR"/>
      </w:pPr>
      <w:r w:rsidRPr="008B62AA">
        <w:rPr>
          <w:b/>
        </w:rPr>
        <w:t>Review Month and Year:</w:t>
      </w:r>
      <w:r>
        <w:t xml:space="preserve"> </w:t>
      </w:r>
      <w:r w:rsidR="00D67523">
        <w:t>September 2017</w:t>
      </w:r>
    </w:p>
    <w:p w:rsidR="00E63DC5" w:rsidRDefault="00E63DC5" w:rsidP="00E63DC5">
      <w:pPr>
        <w:pStyle w:val="NormalTNR"/>
      </w:pPr>
      <w:r w:rsidRPr="008B62AA">
        <w:rPr>
          <w:b/>
        </w:rPr>
        <w:t>Participating Programs:</w:t>
      </w:r>
      <w:r>
        <w:t xml:space="preserve"> </w:t>
      </w:r>
      <w:r w:rsidR="00D67523">
        <w:t>SBP, NSLP, FFVP, CEP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D67523">
        <w:t>CEP</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D67523">
        <w:rPr>
          <w:sz w:val="28"/>
        </w:rPr>
        <w:t>September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D67523">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D67523">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D67523">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D67523">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D67523">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D67523">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D67523">
            <w:pPr>
              <w:pStyle w:val="NormalTNR"/>
              <w:spacing w:after="0"/>
              <w:rPr>
                <w:b/>
                <w:lang w:eastAsia="ja-JP"/>
              </w:rPr>
            </w:pPr>
            <w:r w:rsidRPr="00937A7F">
              <w:rPr>
                <w:b/>
                <w:lang w:eastAsia="ja-JP"/>
              </w:rPr>
              <w:t>Total Reimbursement ($$)</w:t>
            </w:r>
          </w:p>
        </w:tc>
      </w:tr>
      <w:tr w:rsidR="00D67523" w:rsidRPr="00937A7F" w:rsidTr="007107B2">
        <w:trPr>
          <w:tblHeader/>
        </w:trPr>
        <w:tc>
          <w:tcPr>
            <w:tcW w:w="1230" w:type="dxa"/>
            <w:tcBorders>
              <w:top w:val="single" w:sz="4" w:space="0" w:color="auto"/>
            </w:tcBorders>
            <w:shd w:val="clear" w:color="auto" w:fill="auto"/>
          </w:tcPr>
          <w:p w:rsidR="00D67523" w:rsidRPr="00E71C1B" w:rsidRDefault="00D67523" w:rsidP="00D67523">
            <w:pPr>
              <w:pStyle w:val="NormalTNR"/>
              <w:spacing w:after="0"/>
              <w:rPr>
                <w:b/>
                <w:lang w:eastAsia="ja-JP"/>
              </w:rPr>
            </w:pPr>
            <w:r w:rsidRPr="00E71C1B">
              <w:rPr>
                <w:b/>
                <w:lang w:eastAsia="ja-JP"/>
              </w:rPr>
              <w:t>Free</w:t>
            </w:r>
          </w:p>
        </w:tc>
        <w:tc>
          <w:tcPr>
            <w:tcW w:w="1390" w:type="dxa"/>
            <w:shd w:val="clear" w:color="auto" w:fill="auto"/>
          </w:tcPr>
          <w:p w:rsidR="00D67523" w:rsidRDefault="00D67523" w:rsidP="00D67523">
            <w:pPr>
              <w:pStyle w:val="NormalTNR"/>
              <w:spacing w:after="0"/>
            </w:pPr>
            <w:r>
              <w:t>1703</w:t>
            </w:r>
          </w:p>
        </w:tc>
        <w:tc>
          <w:tcPr>
            <w:tcW w:w="1563" w:type="dxa"/>
            <w:shd w:val="clear" w:color="auto" w:fill="auto"/>
          </w:tcPr>
          <w:p w:rsidR="00D67523" w:rsidRDefault="00D67523" w:rsidP="00D67523">
            <w:pPr>
              <w:pStyle w:val="NormalTNR"/>
              <w:spacing w:after="0"/>
            </w:pPr>
            <w:r>
              <w:t>1265</w:t>
            </w:r>
          </w:p>
        </w:tc>
        <w:tc>
          <w:tcPr>
            <w:tcW w:w="1027" w:type="dxa"/>
            <w:shd w:val="clear" w:color="auto" w:fill="auto"/>
          </w:tcPr>
          <w:p w:rsidR="00D67523" w:rsidRDefault="00D67523" w:rsidP="00D67523">
            <w:pPr>
              <w:pStyle w:val="NormalTNR"/>
              <w:spacing w:after="0"/>
            </w:pPr>
            <w:r>
              <w:t>84.67</w:t>
            </w:r>
          </w:p>
        </w:tc>
        <w:tc>
          <w:tcPr>
            <w:tcW w:w="1249" w:type="dxa"/>
            <w:shd w:val="clear" w:color="auto" w:fill="auto"/>
          </w:tcPr>
          <w:p w:rsidR="00D67523" w:rsidRDefault="00D67523" w:rsidP="00D67523">
            <w:pPr>
              <w:pStyle w:val="NormalTNR"/>
              <w:spacing w:after="0"/>
            </w:pPr>
            <w:r>
              <w:t>925</w:t>
            </w:r>
          </w:p>
        </w:tc>
        <w:tc>
          <w:tcPr>
            <w:tcW w:w="1216" w:type="dxa"/>
            <w:shd w:val="clear" w:color="auto" w:fill="auto"/>
          </w:tcPr>
          <w:p w:rsidR="00D67523" w:rsidRDefault="00D67523" w:rsidP="00D67523">
            <w:pPr>
              <w:pStyle w:val="NormalTNR"/>
              <w:spacing w:after="0"/>
            </w:pPr>
            <w:r>
              <w:t>88.77</w:t>
            </w:r>
          </w:p>
        </w:tc>
        <w:tc>
          <w:tcPr>
            <w:tcW w:w="1860" w:type="dxa"/>
            <w:shd w:val="clear" w:color="auto" w:fill="auto"/>
          </w:tcPr>
          <w:p w:rsidR="00D67523" w:rsidRDefault="00D67523" w:rsidP="00D67523">
            <w:pPr>
              <w:pStyle w:val="NormalTNR"/>
              <w:spacing w:after="0"/>
            </w:pPr>
            <w:r>
              <w:t>122,447.72</w:t>
            </w:r>
          </w:p>
        </w:tc>
      </w:tr>
      <w:tr w:rsidR="00D67523" w:rsidRPr="00937A7F" w:rsidTr="007107B2">
        <w:trPr>
          <w:tblHeader/>
        </w:trPr>
        <w:tc>
          <w:tcPr>
            <w:tcW w:w="1230" w:type="dxa"/>
            <w:shd w:val="clear" w:color="auto" w:fill="auto"/>
          </w:tcPr>
          <w:p w:rsidR="00D67523" w:rsidRPr="00E71C1B" w:rsidRDefault="00D67523" w:rsidP="00D67523">
            <w:pPr>
              <w:pStyle w:val="NormalTNR"/>
              <w:spacing w:after="0"/>
              <w:rPr>
                <w:b/>
                <w:lang w:eastAsia="ja-JP"/>
              </w:rPr>
            </w:pPr>
            <w:r w:rsidRPr="00E71C1B">
              <w:rPr>
                <w:b/>
                <w:lang w:eastAsia="ja-JP"/>
              </w:rPr>
              <w:t>Reduced</w:t>
            </w:r>
          </w:p>
        </w:tc>
        <w:tc>
          <w:tcPr>
            <w:tcW w:w="1390" w:type="dxa"/>
            <w:shd w:val="clear" w:color="auto" w:fill="auto"/>
          </w:tcPr>
          <w:p w:rsidR="00D67523" w:rsidRDefault="00D67523" w:rsidP="00D67523">
            <w:pPr>
              <w:pStyle w:val="NormalTNR"/>
              <w:spacing w:after="0"/>
            </w:pPr>
            <w:r>
              <w:t>20</w:t>
            </w:r>
          </w:p>
        </w:tc>
        <w:tc>
          <w:tcPr>
            <w:tcW w:w="1563" w:type="dxa"/>
            <w:shd w:val="clear" w:color="auto" w:fill="auto"/>
          </w:tcPr>
          <w:p w:rsidR="00D67523" w:rsidRDefault="00D67523" w:rsidP="00D67523">
            <w:pPr>
              <w:pStyle w:val="NormalTNR"/>
              <w:spacing w:after="0"/>
            </w:pPr>
            <w:r>
              <w:t>10</w:t>
            </w:r>
          </w:p>
        </w:tc>
        <w:tc>
          <w:tcPr>
            <w:tcW w:w="1027" w:type="dxa"/>
            <w:shd w:val="clear" w:color="auto" w:fill="auto"/>
          </w:tcPr>
          <w:p w:rsidR="00D67523" w:rsidRDefault="00D67523" w:rsidP="00D67523">
            <w:pPr>
              <w:pStyle w:val="NormalTNR"/>
              <w:spacing w:after="0"/>
            </w:pPr>
            <w:r>
              <w:t>0.67</w:t>
            </w:r>
          </w:p>
        </w:tc>
        <w:tc>
          <w:tcPr>
            <w:tcW w:w="1249" w:type="dxa"/>
            <w:shd w:val="clear" w:color="auto" w:fill="auto"/>
          </w:tcPr>
          <w:p w:rsidR="00D67523" w:rsidRDefault="00D67523" w:rsidP="00D67523">
            <w:pPr>
              <w:pStyle w:val="NormalTNR"/>
              <w:spacing w:after="0"/>
            </w:pPr>
            <w:r>
              <w:t>4</w:t>
            </w:r>
          </w:p>
        </w:tc>
        <w:tc>
          <w:tcPr>
            <w:tcW w:w="1216" w:type="dxa"/>
            <w:shd w:val="clear" w:color="auto" w:fill="auto"/>
          </w:tcPr>
          <w:p w:rsidR="00D67523" w:rsidRDefault="00D67523" w:rsidP="00D67523">
            <w:pPr>
              <w:pStyle w:val="NormalTNR"/>
              <w:spacing w:after="0"/>
            </w:pPr>
            <w:r>
              <w:t>0.38</w:t>
            </w:r>
          </w:p>
        </w:tc>
        <w:tc>
          <w:tcPr>
            <w:tcW w:w="1860" w:type="dxa"/>
            <w:shd w:val="clear" w:color="auto" w:fill="auto"/>
          </w:tcPr>
          <w:p w:rsidR="00D67523" w:rsidRDefault="00D67523" w:rsidP="00D67523">
            <w:pPr>
              <w:pStyle w:val="NormalTNR"/>
              <w:spacing w:after="0"/>
            </w:pPr>
            <w:r>
              <w:t>746.91</w:t>
            </w:r>
          </w:p>
        </w:tc>
      </w:tr>
      <w:tr w:rsidR="00D67523" w:rsidRPr="00937A7F" w:rsidTr="007107B2">
        <w:trPr>
          <w:tblHeader/>
        </w:trPr>
        <w:tc>
          <w:tcPr>
            <w:tcW w:w="1230" w:type="dxa"/>
            <w:shd w:val="clear" w:color="auto" w:fill="auto"/>
          </w:tcPr>
          <w:p w:rsidR="00D67523" w:rsidRPr="00E71C1B" w:rsidRDefault="00D67523" w:rsidP="00D67523">
            <w:pPr>
              <w:pStyle w:val="NormalTNR"/>
              <w:spacing w:after="0"/>
              <w:rPr>
                <w:b/>
                <w:lang w:eastAsia="ja-JP"/>
              </w:rPr>
            </w:pPr>
            <w:r w:rsidRPr="00E71C1B">
              <w:rPr>
                <w:b/>
                <w:lang w:eastAsia="ja-JP"/>
              </w:rPr>
              <w:t>Paid</w:t>
            </w:r>
          </w:p>
        </w:tc>
        <w:tc>
          <w:tcPr>
            <w:tcW w:w="1390" w:type="dxa"/>
            <w:shd w:val="clear" w:color="auto" w:fill="auto"/>
          </w:tcPr>
          <w:p w:rsidR="00D67523" w:rsidRDefault="00D67523" w:rsidP="00D67523">
            <w:pPr>
              <w:pStyle w:val="NormalTNR"/>
              <w:spacing w:after="0"/>
            </w:pPr>
            <w:r>
              <w:t>547</w:t>
            </w:r>
          </w:p>
        </w:tc>
        <w:tc>
          <w:tcPr>
            <w:tcW w:w="1563" w:type="dxa"/>
            <w:shd w:val="clear" w:color="auto" w:fill="auto"/>
          </w:tcPr>
          <w:p w:rsidR="00D67523" w:rsidRDefault="00D67523" w:rsidP="00D67523">
            <w:pPr>
              <w:pStyle w:val="NormalTNR"/>
              <w:spacing w:after="0"/>
            </w:pPr>
            <w:r>
              <w:t>219</w:t>
            </w:r>
          </w:p>
        </w:tc>
        <w:tc>
          <w:tcPr>
            <w:tcW w:w="1027" w:type="dxa"/>
            <w:shd w:val="clear" w:color="auto" w:fill="auto"/>
          </w:tcPr>
          <w:p w:rsidR="00D67523" w:rsidRDefault="00D67523" w:rsidP="00D67523">
            <w:pPr>
              <w:pStyle w:val="NormalTNR"/>
              <w:spacing w:after="0"/>
            </w:pPr>
            <w:r>
              <w:t>14.66</w:t>
            </w:r>
          </w:p>
        </w:tc>
        <w:tc>
          <w:tcPr>
            <w:tcW w:w="1249" w:type="dxa"/>
            <w:shd w:val="clear" w:color="auto" w:fill="auto"/>
          </w:tcPr>
          <w:p w:rsidR="00D67523" w:rsidRDefault="00D67523" w:rsidP="00D67523">
            <w:pPr>
              <w:pStyle w:val="NormalTNR"/>
              <w:spacing w:after="0"/>
            </w:pPr>
            <w:r>
              <w:t>113</w:t>
            </w:r>
          </w:p>
        </w:tc>
        <w:tc>
          <w:tcPr>
            <w:tcW w:w="1216" w:type="dxa"/>
            <w:shd w:val="clear" w:color="auto" w:fill="auto"/>
          </w:tcPr>
          <w:p w:rsidR="00D67523" w:rsidRDefault="00D67523" w:rsidP="00D67523">
            <w:pPr>
              <w:pStyle w:val="NormalTNR"/>
              <w:spacing w:after="0"/>
            </w:pPr>
            <w:r>
              <w:t>10.84</w:t>
            </w:r>
          </w:p>
        </w:tc>
        <w:tc>
          <w:tcPr>
            <w:tcW w:w="1860" w:type="dxa"/>
            <w:shd w:val="clear" w:color="auto" w:fill="auto"/>
          </w:tcPr>
          <w:p w:rsidR="00D67523" w:rsidRDefault="00D67523" w:rsidP="00D67523">
            <w:pPr>
              <w:pStyle w:val="NormalTNR"/>
              <w:spacing w:after="0"/>
            </w:pPr>
            <w:r>
              <w:t>4,392.11</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D67523" w:rsidP="007B68D3">
            <w:pPr>
              <w:pStyle w:val="NormalTNR"/>
              <w:spacing w:after="0"/>
              <w:rPr>
                <w:b/>
                <w:lang w:eastAsia="ja-JP"/>
              </w:rPr>
            </w:pPr>
            <w:r>
              <w:rPr>
                <w:b/>
                <w:lang w:eastAsia="ja-JP"/>
              </w:rPr>
              <w:t>2,270</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D67523" w:rsidP="007B68D3">
            <w:pPr>
              <w:pStyle w:val="NormalTNR"/>
              <w:spacing w:after="0"/>
              <w:rPr>
                <w:b/>
                <w:lang w:eastAsia="ja-JP"/>
              </w:rPr>
            </w:pPr>
            <w:r>
              <w:rPr>
                <w:b/>
                <w:lang w:eastAsia="ja-JP"/>
              </w:rPr>
              <w:t>127,586.74</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72AF6"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872AF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72AF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b/>
                <w:color w:val="0CA200"/>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872AF6"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72AF6"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72AF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872AF6" w:rsidP="00FC03D3">
            <w:pPr>
              <w:rPr>
                <w:rFonts w:ascii="Times New Roman" w:eastAsia="Times New Roman" w:hAnsi="Times New Roman"/>
                <w:noProof/>
                <w:color w:val="000000"/>
                <w:szCs w:val="20"/>
              </w:rPr>
            </w:pPr>
            <w:r w:rsidRPr="00872AF6">
              <w:rPr>
                <w:rFonts w:ascii="Times New Roman" w:eastAsia="Times New Roman" w:hAnsi="Times New Roman"/>
                <w:noProof/>
                <w:color w:val="000000"/>
                <w:szCs w:val="20"/>
              </w:rPr>
              <w:t>The Fresh Fruit and Vegetable Program meal service staff did not follow applicable sanitation and health standards.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872AF6"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872AF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872AF6"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C468C"/>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72AF6"/>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67523"/>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482C"/>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55D1-D5DF-4973-8F5E-EC65F87E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Bristol City FPAR Summary</vt:lpstr>
    </vt:vector>
  </TitlesOfParts>
  <Company>Virginia IT Infrastructure Partnership</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FPAR Summary</dc:title>
  <dc:subject>Nutrition</dc:subject>
  <dc:creator>DOE - NUTRITION (DOE)</dc:creator>
  <cp:lastModifiedBy>Bowman, Kelly (DOE)</cp:lastModifiedBy>
  <cp:revision>5</cp:revision>
  <cp:lastPrinted>2018-03-27T12:01:00Z</cp:lastPrinted>
  <dcterms:created xsi:type="dcterms:W3CDTF">2018-04-04T18:08:00Z</dcterms:created>
  <dcterms:modified xsi:type="dcterms:W3CDTF">2018-04-04T18:12:00Z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