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560DD4">
        <w:t>Bedford County</w:t>
      </w:r>
      <w:r w:rsidR="00E76D18">
        <w:t xml:space="preserve"> Public Schools</w:t>
      </w:r>
    </w:p>
    <w:p w:rsidR="00E63DC5" w:rsidRDefault="00E63DC5" w:rsidP="00E63DC5">
      <w:pPr>
        <w:pStyle w:val="NormalTNR"/>
      </w:pPr>
      <w:r w:rsidRPr="008B62AA">
        <w:rPr>
          <w:b/>
        </w:rPr>
        <w:t>Report Publication Date:</w:t>
      </w:r>
      <w:r>
        <w:t xml:space="preserve"> </w:t>
      </w:r>
      <w:r w:rsidR="00560DD4">
        <w:t>October 1</w:t>
      </w:r>
      <w:r w:rsidR="00E76D18">
        <w:t>, 2019</w:t>
      </w:r>
    </w:p>
    <w:p w:rsidR="00E63DC5" w:rsidRDefault="00E63DC5" w:rsidP="00E63DC5">
      <w:pPr>
        <w:pStyle w:val="NormalTNR"/>
      </w:pPr>
      <w:r w:rsidRPr="008B62AA">
        <w:rPr>
          <w:b/>
        </w:rPr>
        <w:t>Administrative Review Dates:</w:t>
      </w:r>
      <w:r>
        <w:t xml:space="preserve"> </w:t>
      </w:r>
      <w:r w:rsidR="00C4239B">
        <w:t>April 2 – 5, 2019</w:t>
      </w:r>
    </w:p>
    <w:p w:rsidR="00E63DC5" w:rsidRDefault="00E63DC5" w:rsidP="00E63DC5">
      <w:pPr>
        <w:pStyle w:val="NormalTNR"/>
      </w:pPr>
      <w:r w:rsidRPr="008B62AA">
        <w:rPr>
          <w:b/>
        </w:rPr>
        <w:t>Review Month and Year:</w:t>
      </w:r>
      <w:r>
        <w:t xml:space="preserve"> </w:t>
      </w:r>
      <w:r w:rsidR="00C4239B">
        <w:t>February 2019</w:t>
      </w:r>
    </w:p>
    <w:p w:rsidR="00E63DC5" w:rsidRDefault="00E63DC5" w:rsidP="00E63DC5">
      <w:pPr>
        <w:pStyle w:val="NormalTNR"/>
      </w:pPr>
      <w:r w:rsidRPr="008B62AA">
        <w:rPr>
          <w:b/>
        </w:rPr>
        <w:t>Participating Programs:</w:t>
      </w:r>
      <w:r>
        <w:t xml:space="preserve"> </w:t>
      </w:r>
      <w:r w:rsidR="00E76D18">
        <w:t>NSLP, SBP, AS</w:t>
      </w:r>
      <w:r w:rsidR="00560DD4">
        <w:t>P, SFSP</w:t>
      </w:r>
      <w:bookmarkStart w:id="0" w:name="_GoBack"/>
      <w:bookmarkEnd w:id="0"/>
    </w:p>
    <w:p w:rsidR="00E63DC5" w:rsidRPr="00E63DC5" w:rsidRDefault="00E63DC5" w:rsidP="00F70D82">
      <w:pPr>
        <w:pStyle w:val="NormalTNR"/>
        <w:spacing w:after="600"/>
      </w:pPr>
      <w:r w:rsidRPr="008B62AA">
        <w:rPr>
          <w:b/>
        </w:rPr>
        <w:t>Participates in Special Provisions?</w:t>
      </w:r>
      <w:r>
        <w:t xml:space="preserve"> </w:t>
      </w:r>
      <w:r w:rsidR="00560DD4">
        <w:t>CEP</w:t>
      </w:r>
    </w:p>
    <w:p w:rsidR="0031611E" w:rsidRPr="00A72169" w:rsidRDefault="0031611E" w:rsidP="00F70D82">
      <w:pPr>
        <w:pStyle w:val="Heading2"/>
        <w:spacing w:after="120"/>
      </w:pPr>
      <w:r w:rsidRPr="00A61E27">
        <w:rPr>
          <w:sz w:val="28"/>
        </w:rPr>
        <w:t>Enrollm</w:t>
      </w:r>
      <w:r w:rsidR="003B7693">
        <w:rPr>
          <w:sz w:val="28"/>
        </w:rPr>
        <w:t xml:space="preserve">ent and Participation Data for </w:t>
      </w:r>
      <w:r w:rsidR="00560DD4">
        <w:rPr>
          <w:sz w:val="28"/>
        </w:rPr>
        <w:t>February 2019</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975B5F" w:rsidP="00C45D7B">
            <w:pPr>
              <w:pStyle w:val="NormalTNR"/>
              <w:spacing w:after="0"/>
              <w:jc w:val="right"/>
              <w:rPr>
                <w:lang w:eastAsia="ja-JP"/>
              </w:rPr>
            </w:pPr>
            <w:r>
              <w:rPr>
                <w:lang w:eastAsia="ja-JP"/>
              </w:rPr>
              <w:t>3</w:t>
            </w:r>
            <w:r w:rsidR="00A6095D">
              <w:rPr>
                <w:lang w:eastAsia="ja-JP"/>
              </w:rPr>
              <w:t>,</w:t>
            </w:r>
            <w:r w:rsidR="00382E71">
              <w:rPr>
                <w:lang w:eastAsia="ja-JP"/>
              </w:rPr>
              <w:t>145</w:t>
            </w:r>
          </w:p>
        </w:tc>
        <w:tc>
          <w:tcPr>
            <w:tcW w:w="1563" w:type="dxa"/>
            <w:shd w:val="clear" w:color="auto" w:fill="auto"/>
            <w:vAlign w:val="center"/>
          </w:tcPr>
          <w:p w:rsidR="006C3986" w:rsidRPr="00690A00" w:rsidRDefault="00C45D7B" w:rsidP="00C45D7B">
            <w:pPr>
              <w:pStyle w:val="NormalTNR"/>
              <w:spacing w:after="0"/>
              <w:jc w:val="right"/>
              <w:rPr>
                <w:lang w:eastAsia="ja-JP"/>
              </w:rPr>
            </w:pPr>
            <w:r>
              <w:rPr>
                <w:lang w:eastAsia="ja-JP"/>
              </w:rPr>
              <w:t>2</w:t>
            </w:r>
            <w:r w:rsidR="00A6095D">
              <w:rPr>
                <w:lang w:eastAsia="ja-JP"/>
              </w:rPr>
              <w:t>,</w:t>
            </w:r>
            <w:r w:rsidR="00382E71">
              <w:rPr>
                <w:lang w:eastAsia="ja-JP"/>
              </w:rPr>
              <w:t>169</w:t>
            </w:r>
          </w:p>
        </w:tc>
        <w:tc>
          <w:tcPr>
            <w:tcW w:w="1027" w:type="dxa"/>
            <w:shd w:val="clear" w:color="auto" w:fill="auto"/>
            <w:vAlign w:val="center"/>
          </w:tcPr>
          <w:p w:rsidR="006C3986" w:rsidRPr="00690A00" w:rsidRDefault="00382E71" w:rsidP="00C45D7B">
            <w:pPr>
              <w:pStyle w:val="NormalTNR"/>
              <w:spacing w:after="0"/>
              <w:jc w:val="right"/>
              <w:rPr>
                <w:lang w:eastAsia="ja-JP"/>
              </w:rPr>
            </w:pPr>
            <w:r>
              <w:rPr>
                <w:lang w:eastAsia="ja-JP"/>
              </w:rPr>
              <w:t>49.37</w:t>
            </w:r>
          </w:p>
        </w:tc>
        <w:tc>
          <w:tcPr>
            <w:tcW w:w="1249" w:type="dxa"/>
            <w:shd w:val="clear" w:color="auto" w:fill="auto"/>
            <w:vAlign w:val="center"/>
          </w:tcPr>
          <w:p w:rsidR="006C3986" w:rsidRPr="00690A00" w:rsidRDefault="00C45D7B" w:rsidP="00C45D7B">
            <w:pPr>
              <w:pStyle w:val="NormalTNR"/>
              <w:spacing w:after="0"/>
              <w:jc w:val="right"/>
              <w:rPr>
                <w:lang w:eastAsia="ja-JP"/>
              </w:rPr>
            </w:pPr>
            <w:r>
              <w:rPr>
                <w:lang w:eastAsia="ja-JP"/>
              </w:rPr>
              <w:t>1</w:t>
            </w:r>
            <w:r w:rsidR="00A6095D">
              <w:rPr>
                <w:lang w:eastAsia="ja-JP"/>
              </w:rPr>
              <w:t>,</w:t>
            </w:r>
            <w:r w:rsidR="00382E71">
              <w:rPr>
                <w:lang w:eastAsia="ja-JP"/>
              </w:rPr>
              <w:t>326</w:t>
            </w:r>
          </w:p>
        </w:tc>
        <w:tc>
          <w:tcPr>
            <w:tcW w:w="1216" w:type="dxa"/>
            <w:shd w:val="clear" w:color="auto" w:fill="auto"/>
            <w:vAlign w:val="center"/>
          </w:tcPr>
          <w:p w:rsidR="006C3986" w:rsidRPr="00690A00" w:rsidRDefault="00382E71" w:rsidP="00C45D7B">
            <w:pPr>
              <w:pStyle w:val="NormalTNR"/>
              <w:spacing w:after="0"/>
              <w:jc w:val="right"/>
              <w:rPr>
                <w:lang w:eastAsia="ja-JP"/>
              </w:rPr>
            </w:pPr>
            <w:r>
              <w:rPr>
                <w:lang w:eastAsia="ja-JP"/>
              </w:rPr>
              <w:t>63.38</w:t>
            </w:r>
          </w:p>
        </w:tc>
        <w:tc>
          <w:tcPr>
            <w:tcW w:w="1860" w:type="dxa"/>
            <w:shd w:val="clear" w:color="auto" w:fill="auto"/>
            <w:vAlign w:val="center"/>
          </w:tcPr>
          <w:p w:rsidR="006C3986" w:rsidRPr="00690A00" w:rsidRDefault="00A6095D" w:rsidP="00C45D7B">
            <w:pPr>
              <w:pStyle w:val="NormalTNR"/>
              <w:spacing w:after="0"/>
              <w:jc w:val="right"/>
              <w:rPr>
                <w:lang w:eastAsia="ja-JP"/>
              </w:rPr>
            </w:pPr>
            <w:r>
              <w:rPr>
                <w:lang w:eastAsia="ja-JP"/>
              </w:rPr>
              <w:t>193,370.54</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382E71" w:rsidP="00C45D7B">
            <w:pPr>
              <w:pStyle w:val="NormalTNR"/>
              <w:spacing w:after="0"/>
              <w:jc w:val="right"/>
              <w:rPr>
                <w:lang w:eastAsia="ja-JP"/>
              </w:rPr>
            </w:pPr>
            <w:r>
              <w:rPr>
                <w:lang w:eastAsia="ja-JP"/>
              </w:rPr>
              <w:t>596</w:t>
            </w:r>
          </w:p>
        </w:tc>
        <w:tc>
          <w:tcPr>
            <w:tcW w:w="1563" w:type="dxa"/>
            <w:shd w:val="clear" w:color="auto" w:fill="auto"/>
            <w:vAlign w:val="center"/>
          </w:tcPr>
          <w:p w:rsidR="006C3986" w:rsidRPr="00690A00" w:rsidRDefault="00382E71" w:rsidP="00C45D7B">
            <w:pPr>
              <w:pStyle w:val="NormalTNR"/>
              <w:spacing w:after="0"/>
              <w:jc w:val="right"/>
              <w:rPr>
                <w:lang w:eastAsia="ja-JP"/>
              </w:rPr>
            </w:pPr>
            <w:r>
              <w:rPr>
                <w:lang w:eastAsia="ja-JP"/>
              </w:rPr>
              <w:t>398</w:t>
            </w:r>
          </w:p>
        </w:tc>
        <w:tc>
          <w:tcPr>
            <w:tcW w:w="1027" w:type="dxa"/>
            <w:shd w:val="clear" w:color="auto" w:fill="auto"/>
            <w:vAlign w:val="center"/>
          </w:tcPr>
          <w:p w:rsidR="006C3986" w:rsidRPr="00690A00" w:rsidRDefault="00382E71" w:rsidP="00C45D7B">
            <w:pPr>
              <w:pStyle w:val="NormalTNR"/>
              <w:spacing w:after="0"/>
              <w:jc w:val="right"/>
              <w:rPr>
                <w:lang w:eastAsia="ja-JP"/>
              </w:rPr>
            </w:pPr>
            <w:r>
              <w:rPr>
                <w:lang w:eastAsia="ja-JP"/>
              </w:rPr>
              <w:t>9.06</w:t>
            </w:r>
          </w:p>
        </w:tc>
        <w:tc>
          <w:tcPr>
            <w:tcW w:w="1249" w:type="dxa"/>
            <w:shd w:val="clear" w:color="auto" w:fill="auto"/>
            <w:vAlign w:val="center"/>
          </w:tcPr>
          <w:p w:rsidR="006C3986" w:rsidRPr="00690A00" w:rsidRDefault="00382E71" w:rsidP="00C45D7B">
            <w:pPr>
              <w:pStyle w:val="NormalTNR"/>
              <w:spacing w:after="0"/>
              <w:jc w:val="right"/>
              <w:rPr>
                <w:lang w:eastAsia="ja-JP"/>
              </w:rPr>
            </w:pPr>
            <w:r>
              <w:rPr>
                <w:lang w:eastAsia="ja-JP"/>
              </w:rPr>
              <w:t>228</w:t>
            </w:r>
          </w:p>
        </w:tc>
        <w:tc>
          <w:tcPr>
            <w:tcW w:w="1216" w:type="dxa"/>
            <w:shd w:val="clear" w:color="auto" w:fill="auto"/>
            <w:vAlign w:val="center"/>
          </w:tcPr>
          <w:p w:rsidR="006C3986" w:rsidRPr="00690A00" w:rsidRDefault="00382E71" w:rsidP="00C45D7B">
            <w:pPr>
              <w:pStyle w:val="NormalTNR"/>
              <w:spacing w:after="0"/>
              <w:jc w:val="right"/>
              <w:rPr>
                <w:lang w:eastAsia="ja-JP"/>
              </w:rPr>
            </w:pPr>
            <w:r>
              <w:rPr>
                <w:lang w:eastAsia="ja-JP"/>
              </w:rPr>
              <w:t>10.90</w:t>
            </w:r>
          </w:p>
        </w:tc>
        <w:tc>
          <w:tcPr>
            <w:tcW w:w="1860" w:type="dxa"/>
            <w:shd w:val="clear" w:color="auto" w:fill="auto"/>
            <w:vAlign w:val="center"/>
          </w:tcPr>
          <w:p w:rsidR="006C3986" w:rsidRPr="00690A00" w:rsidRDefault="00A6095D" w:rsidP="00C45D7B">
            <w:pPr>
              <w:pStyle w:val="NormalTNR"/>
              <w:spacing w:after="0"/>
              <w:jc w:val="right"/>
              <w:rPr>
                <w:lang w:eastAsia="ja-JP"/>
              </w:rPr>
            </w:pPr>
            <w:r>
              <w:rPr>
                <w:lang w:eastAsia="ja-JP"/>
              </w:rPr>
              <w:t>30,137.10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382E71" w:rsidP="00C45D7B">
            <w:pPr>
              <w:pStyle w:val="NormalTNR"/>
              <w:spacing w:after="0"/>
              <w:jc w:val="right"/>
              <w:rPr>
                <w:lang w:eastAsia="ja-JP"/>
              </w:rPr>
            </w:pPr>
            <w:r>
              <w:rPr>
                <w:lang w:eastAsia="ja-JP"/>
              </w:rPr>
              <w:t>5,948</w:t>
            </w:r>
          </w:p>
        </w:tc>
        <w:tc>
          <w:tcPr>
            <w:tcW w:w="1563" w:type="dxa"/>
            <w:shd w:val="clear" w:color="auto" w:fill="auto"/>
            <w:vAlign w:val="center"/>
          </w:tcPr>
          <w:p w:rsidR="006C3986" w:rsidRPr="00690A00" w:rsidRDefault="00C45D7B" w:rsidP="00C45D7B">
            <w:pPr>
              <w:pStyle w:val="NormalTNR"/>
              <w:spacing w:after="0"/>
              <w:jc w:val="right"/>
              <w:rPr>
                <w:lang w:eastAsia="ja-JP"/>
              </w:rPr>
            </w:pPr>
            <w:r>
              <w:rPr>
                <w:lang w:eastAsia="ja-JP"/>
              </w:rPr>
              <w:t>1</w:t>
            </w:r>
            <w:r w:rsidR="00A6095D">
              <w:rPr>
                <w:lang w:eastAsia="ja-JP"/>
              </w:rPr>
              <w:t>,</w:t>
            </w:r>
            <w:r w:rsidR="00382E71">
              <w:rPr>
                <w:lang w:eastAsia="ja-JP"/>
              </w:rPr>
              <w:t>826</w:t>
            </w:r>
          </w:p>
        </w:tc>
        <w:tc>
          <w:tcPr>
            <w:tcW w:w="1027" w:type="dxa"/>
            <w:shd w:val="clear" w:color="auto" w:fill="auto"/>
            <w:vAlign w:val="center"/>
          </w:tcPr>
          <w:p w:rsidR="006C3986" w:rsidRPr="00690A00" w:rsidRDefault="00382E71" w:rsidP="00C45D7B">
            <w:pPr>
              <w:pStyle w:val="NormalTNR"/>
              <w:spacing w:after="0"/>
              <w:jc w:val="right"/>
              <w:rPr>
                <w:lang w:eastAsia="ja-JP"/>
              </w:rPr>
            </w:pPr>
            <w:r>
              <w:rPr>
                <w:lang w:eastAsia="ja-JP"/>
              </w:rPr>
              <w:t>41.57</w:t>
            </w:r>
          </w:p>
        </w:tc>
        <w:tc>
          <w:tcPr>
            <w:tcW w:w="1249" w:type="dxa"/>
            <w:shd w:val="clear" w:color="auto" w:fill="auto"/>
            <w:vAlign w:val="center"/>
          </w:tcPr>
          <w:p w:rsidR="006C3986" w:rsidRPr="00690A00" w:rsidRDefault="00382E71" w:rsidP="00C45D7B">
            <w:pPr>
              <w:pStyle w:val="NormalTNR"/>
              <w:spacing w:after="0"/>
              <w:jc w:val="right"/>
              <w:rPr>
                <w:lang w:eastAsia="ja-JP"/>
              </w:rPr>
            </w:pPr>
            <w:r>
              <w:rPr>
                <w:lang w:eastAsia="ja-JP"/>
              </w:rPr>
              <w:t>538</w:t>
            </w:r>
          </w:p>
        </w:tc>
        <w:tc>
          <w:tcPr>
            <w:tcW w:w="1216" w:type="dxa"/>
            <w:shd w:val="clear" w:color="auto" w:fill="auto"/>
            <w:vAlign w:val="center"/>
          </w:tcPr>
          <w:p w:rsidR="006C3986" w:rsidRPr="00690A00" w:rsidRDefault="00382E71" w:rsidP="00C45D7B">
            <w:pPr>
              <w:pStyle w:val="NormalTNR"/>
              <w:spacing w:after="0"/>
              <w:jc w:val="right"/>
              <w:rPr>
                <w:lang w:eastAsia="ja-JP"/>
              </w:rPr>
            </w:pPr>
            <w:r>
              <w:rPr>
                <w:lang w:eastAsia="ja-JP"/>
              </w:rPr>
              <w:t>25.72</w:t>
            </w:r>
          </w:p>
        </w:tc>
        <w:tc>
          <w:tcPr>
            <w:tcW w:w="1860" w:type="dxa"/>
            <w:shd w:val="clear" w:color="auto" w:fill="auto"/>
            <w:vAlign w:val="center"/>
          </w:tcPr>
          <w:p w:rsidR="006C3986" w:rsidRPr="00690A00" w:rsidRDefault="00A6095D" w:rsidP="00C45D7B">
            <w:pPr>
              <w:pStyle w:val="NormalTNR"/>
              <w:spacing w:after="0"/>
              <w:jc w:val="right"/>
              <w:rPr>
                <w:lang w:eastAsia="ja-JP"/>
              </w:rPr>
            </w:pPr>
            <w:r>
              <w:rPr>
                <w:lang w:eastAsia="ja-JP"/>
              </w:rPr>
              <w:t>16,016.73</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975B5F" w:rsidP="00C45D7B">
            <w:pPr>
              <w:pStyle w:val="NormalTNR"/>
              <w:spacing w:after="0"/>
              <w:jc w:val="right"/>
              <w:rPr>
                <w:b/>
                <w:lang w:eastAsia="ja-JP"/>
              </w:rPr>
            </w:pPr>
            <w:r>
              <w:rPr>
                <w:b/>
                <w:lang w:eastAsia="ja-JP"/>
              </w:rPr>
              <w:t>9</w:t>
            </w:r>
            <w:r w:rsidR="00A6095D">
              <w:rPr>
                <w:b/>
                <w:lang w:eastAsia="ja-JP"/>
              </w:rPr>
              <w:t>,</w:t>
            </w:r>
            <w:r w:rsidR="00382E71">
              <w:rPr>
                <w:b/>
                <w:lang w:eastAsia="ja-JP"/>
              </w:rPr>
              <w:t>689</w:t>
            </w:r>
          </w:p>
        </w:tc>
        <w:tc>
          <w:tcPr>
            <w:tcW w:w="1563" w:type="dxa"/>
            <w:shd w:val="clear" w:color="auto" w:fill="auto"/>
            <w:vAlign w:val="center"/>
          </w:tcPr>
          <w:p w:rsidR="006C3986" w:rsidRPr="00E71C1B" w:rsidRDefault="006C3986" w:rsidP="00C45D7B">
            <w:pPr>
              <w:pStyle w:val="NormalTNR"/>
              <w:spacing w:after="0"/>
              <w:jc w:val="right"/>
              <w:rPr>
                <w:color w:val="FFFFFF" w:themeColor="background1"/>
                <w:sz w:val="10"/>
                <w:lang w:eastAsia="ja-JP"/>
              </w:rPr>
            </w:pPr>
          </w:p>
        </w:tc>
        <w:tc>
          <w:tcPr>
            <w:tcW w:w="1027" w:type="dxa"/>
            <w:shd w:val="clear" w:color="auto" w:fill="auto"/>
          </w:tcPr>
          <w:p w:rsidR="006C3986" w:rsidRPr="00E71C1B" w:rsidRDefault="006C3986" w:rsidP="00C45D7B">
            <w:pPr>
              <w:pStyle w:val="NormalTNR"/>
              <w:spacing w:after="0"/>
              <w:jc w:val="right"/>
              <w:rPr>
                <w:b/>
                <w:color w:val="FFFFFF" w:themeColor="background1"/>
                <w:lang w:eastAsia="ja-JP"/>
              </w:rPr>
            </w:pPr>
          </w:p>
        </w:tc>
        <w:tc>
          <w:tcPr>
            <w:tcW w:w="1249" w:type="dxa"/>
            <w:shd w:val="clear" w:color="auto" w:fill="auto"/>
            <w:vAlign w:val="center"/>
          </w:tcPr>
          <w:p w:rsidR="006C3986" w:rsidRPr="00E71C1B" w:rsidRDefault="006C3986" w:rsidP="00C45D7B">
            <w:pPr>
              <w:pStyle w:val="NormalTNR"/>
              <w:spacing w:after="0"/>
              <w:jc w:val="right"/>
              <w:rPr>
                <w:b/>
                <w:color w:val="FFFFFF" w:themeColor="background1"/>
                <w:lang w:eastAsia="ja-JP"/>
              </w:rPr>
            </w:pPr>
          </w:p>
        </w:tc>
        <w:tc>
          <w:tcPr>
            <w:tcW w:w="1216" w:type="dxa"/>
            <w:shd w:val="clear" w:color="auto" w:fill="auto"/>
            <w:vAlign w:val="center"/>
          </w:tcPr>
          <w:p w:rsidR="006C3986" w:rsidRPr="00E71C1B" w:rsidRDefault="006C3986" w:rsidP="00C45D7B">
            <w:pPr>
              <w:pStyle w:val="NormalTNR"/>
              <w:spacing w:after="0"/>
              <w:jc w:val="right"/>
              <w:rPr>
                <w:b/>
                <w:color w:val="FFFFFF" w:themeColor="background1"/>
                <w:lang w:eastAsia="ja-JP"/>
              </w:rPr>
            </w:pPr>
          </w:p>
        </w:tc>
        <w:tc>
          <w:tcPr>
            <w:tcW w:w="1860" w:type="dxa"/>
            <w:shd w:val="clear" w:color="auto" w:fill="auto"/>
            <w:vAlign w:val="center"/>
          </w:tcPr>
          <w:p w:rsidR="006C3986" w:rsidRPr="00937A7F" w:rsidRDefault="00A6095D" w:rsidP="00C45D7B">
            <w:pPr>
              <w:pStyle w:val="NormalTNR"/>
              <w:spacing w:after="0"/>
              <w:jc w:val="right"/>
              <w:rPr>
                <w:b/>
                <w:lang w:eastAsia="ja-JP"/>
              </w:rPr>
            </w:pPr>
            <w:r>
              <w:rPr>
                <w:b/>
                <w:lang w:eastAsia="ja-JP"/>
              </w:rPr>
              <w:t>239,524.37</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33787A" w:rsidP="002D2FED">
            <w:pPr>
              <w:spacing w:before="0"/>
              <w:rPr>
                <w:rFonts w:ascii="Times New Roman" w:eastAsia="Times New Roman" w:hAnsi="Times New Roman"/>
                <w:b/>
                <w:color w:val="005E20"/>
                <w:szCs w:val="16"/>
                <w:lang w:eastAsia="ja-JP"/>
              </w:rPr>
            </w:pPr>
            <w:r>
              <w:rPr>
                <w:rFonts w:ascii="Times New Roman" w:hAnsi="Times New Roman"/>
                <w:noProof/>
              </w:rPr>
              <w:drawing>
                <wp:inline distT="0" distB="0" distL="0" distR="0" wp14:anchorId="60EC1A87" wp14:editId="5CC28F6C">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5E20"/>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33787A" w:rsidRDefault="004430A4" w:rsidP="0033787A">
            <w:pPr>
              <w:spacing w:before="0"/>
              <w:rPr>
                <w:rFonts w:ascii="Times New Roman" w:eastAsia="Times New Roman" w:hAnsi="Times New Roman"/>
                <w:noProof/>
                <w:color w:val="auto"/>
                <w:szCs w:val="20"/>
              </w:rPr>
            </w:pPr>
            <w:r>
              <w:rPr>
                <w:rFonts w:ascii="Times New Roman" w:eastAsia="Times New Roman" w:hAnsi="Times New Roman"/>
                <w:noProof/>
                <w:color w:val="000000"/>
                <w:szCs w:val="20"/>
              </w:rPr>
              <w:t>An a</w:t>
            </w:r>
            <w:r w:rsidR="001A0069">
              <w:rPr>
                <w:rFonts w:ascii="Times New Roman" w:eastAsia="Times New Roman" w:hAnsi="Times New Roman"/>
                <w:noProof/>
                <w:color w:val="000000"/>
                <w:szCs w:val="20"/>
              </w:rPr>
              <w:t>pplication</w:t>
            </w:r>
            <w:r>
              <w:rPr>
                <w:rFonts w:ascii="Times New Roman" w:eastAsia="Times New Roman" w:hAnsi="Times New Roman"/>
                <w:noProof/>
                <w:color w:val="000000"/>
                <w:szCs w:val="20"/>
              </w:rPr>
              <w:t xml:space="preserve"> was incorrectly approved for free or reduced price meal benefits.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AC0245"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AC0245"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AC0245"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AC0245"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AC024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AC0245" w:rsidRDefault="00593602" w:rsidP="00BC0516">
            <w:pPr>
              <w:rPr>
                <w:rFonts w:ascii="Times New Roman" w:eastAsia="Times New Roman" w:hAnsi="Times New Roman"/>
                <w:b/>
                <w:color w:val="005E20"/>
                <w:szCs w:val="16"/>
                <w:lang w:eastAsia="ja-JP"/>
              </w:rPr>
            </w:pPr>
            <w:r>
              <w:rPr>
                <w:noProof/>
              </w:rPr>
              <w:pict>
                <v:shape id="_x0000_i1025" type="#_x0000_t75" alt="Denotes no findings" style="width:15.2pt;height:15.2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AC0245" w:rsidRDefault="002032A0" w:rsidP="0033787A">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4F5B20" w:rsidRDefault="00B130AE" w:rsidP="00FC03D3">
            <w:pPr>
              <w:rPr>
                <w:rFonts w:ascii="Times New Roman" w:eastAsia="Times New Roman" w:hAnsi="Times New Roman"/>
                <w:noProof/>
                <w:color w:val="000000"/>
                <w:szCs w:val="24"/>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lastRenderedPageBreak/>
              <w:t>Competitive Foods</w:t>
            </w:r>
          </w:p>
        </w:tc>
        <w:tc>
          <w:tcPr>
            <w:tcW w:w="4669" w:type="dxa"/>
            <w:vAlign w:val="center"/>
          </w:tcPr>
          <w:p w:rsidR="006475A6" w:rsidRPr="00AC024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AC0245"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602" w:rsidRDefault="00593602" w:rsidP="00EA0AD0">
      <w:pPr>
        <w:spacing w:before="0" w:after="0"/>
      </w:pPr>
      <w:r>
        <w:separator/>
      </w:r>
    </w:p>
  </w:endnote>
  <w:endnote w:type="continuationSeparator" w:id="0">
    <w:p w:rsidR="00593602" w:rsidRDefault="00593602"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602" w:rsidRDefault="00593602" w:rsidP="00EA0AD0">
      <w:pPr>
        <w:spacing w:before="0" w:after="0"/>
      </w:pPr>
      <w:r>
        <w:separator/>
      </w:r>
    </w:p>
  </w:footnote>
  <w:footnote w:type="continuationSeparator" w:id="0">
    <w:p w:rsidR="00593602" w:rsidRDefault="00593602"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1.6pt;height:21.6pt;visibility:visible;mso-wrap-style:square" o:bullet="t">
        <v:imagedata r:id="rId1" o:title=""/>
      </v:shape>
    </w:pict>
  </w:numPicBullet>
  <w:numPicBullet w:numPicBulletId="1">
    <w:pict>
      <v:shape id="_x0000_i1118" type="#_x0000_t75" alt="Denotes no findings" style="width:15.2pt;height:15.2pt;visibility:visible;mso-wrap-style:square" o:bullet="t">
        <v:imagedata r:id="rId2" o:title="Denotes no findings"/>
      </v:shape>
    </w:pict>
  </w:numPicBullet>
  <w:numPicBullet w:numPicBulletId="2">
    <w:pict>
      <v:shape id="_x0000_i1119" type="#_x0000_t75" alt="Denotes findings identified" style="width:21.6pt;height:21.6pt;visibility:visible;mso-wrap-style:square" o:bullet="t">
        <v:imagedata r:id="rId3" o:title="Denotes findings identified"/>
      </v:shape>
    </w:pict>
  </w:numPicBullet>
  <w:numPicBullet w:numPicBulletId="3">
    <w:pict>
      <v:shape id="_x0000_i1120" type="#_x0000_t75" style="width:15.2pt;height:15.2pt;visibility:visible;mso-wrap-style:square" o:bullet="t">
        <v:imagedata r:id="rId4" o:title=""/>
      </v:shape>
    </w:pict>
  </w:numPicBullet>
  <w:numPicBullet w:numPicBulletId="4">
    <w:pict>
      <v:shape id="_x0000_i1121" type="#_x0000_t75" style="width:15.2pt;height:15.2pt;visibility:visible;mso-wrap-style:square" o:bullet="t">
        <v:imagedata r:id="rId5" o:title=""/>
      </v:shape>
    </w:pict>
  </w:numPicBullet>
  <w:numPicBullet w:numPicBulletId="5">
    <w:pict>
      <v:shape id="_x0000_i1122" type="#_x0000_t75" alt="Denotes no findings" style="width:15.2pt;height:15.2pt;visibility:visible;mso-wrap-style:square" o:bullet="t">
        <v:imagedata r:id="rId6" o:title="Denotes no findings"/>
      </v:shape>
    </w:pict>
  </w:numPicBullet>
  <w:numPicBullet w:numPicBulletId="6">
    <w:pict>
      <v:shape id="_x0000_i1123"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2E78"/>
    <w:rsid w:val="000C309B"/>
    <w:rsid w:val="000C4495"/>
    <w:rsid w:val="001A0069"/>
    <w:rsid w:val="001B0603"/>
    <w:rsid w:val="001F75BE"/>
    <w:rsid w:val="002032A0"/>
    <w:rsid w:val="00217886"/>
    <w:rsid w:val="00260CA2"/>
    <w:rsid w:val="00265D36"/>
    <w:rsid w:val="00274A66"/>
    <w:rsid w:val="002D2FED"/>
    <w:rsid w:val="002D4167"/>
    <w:rsid w:val="0031611E"/>
    <w:rsid w:val="0032739D"/>
    <w:rsid w:val="003274A0"/>
    <w:rsid w:val="0033787A"/>
    <w:rsid w:val="003507AB"/>
    <w:rsid w:val="00382E71"/>
    <w:rsid w:val="003B7693"/>
    <w:rsid w:val="003C5AEE"/>
    <w:rsid w:val="004430A4"/>
    <w:rsid w:val="00464DF8"/>
    <w:rsid w:val="004A5012"/>
    <w:rsid w:val="004C04E4"/>
    <w:rsid w:val="004C18F7"/>
    <w:rsid w:val="004D45AD"/>
    <w:rsid w:val="004D73B8"/>
    <w:rsid w:val="004F5B20"/>
    <w:rsid w:val="004F70BE"/>
    <w:rsid w:val="00527106"/>
    <w:rsid w:val="00560DD4"/>
    <w:rsid w:val="00576EFE"/>
    <w:rsid w:val="00593602"/>
    <w:rsid w:val="00593DA0"/>
    <w:rsid w:val="005A1A00"/>
    <w:rsid w:val="005C2719"/>
    <w:rsid w:val="005E617A"/>
    <w:rsid w:val="005E72E8"/>
    <w:rsid w:val="006070B4"/>
    <w:rsid w:val="00620948"/>
    <w:rsid w:val="006475A6"/>
    <w:rsid w:val="0065108F"/>
    <w:rsid w:val="00680BAE"/>
    <w:rsid w:val="00690A00"/>
    <w:rsid w:val="00694D91"/>
    <w:rsid w:val="006C3986"/>
    <w:rsid w:val="006D0B91"/>
    <w:rsid w:val="006E68D8"/>
    <w:rsid w:val="00705097"/>
    <w:rsid w:val="0072729A"/>
    <w:rsid w:val="0073582B"/>
    <w:rsid w:val="00767813"/>
    <w:rsid w:val="007B68D3"/>
    <w:rsid w:val="007D26AA"/>
    <w:rsid w:val="007D3AFD"/>
    <w:rsid w:val="007F1384"/>
    <w:rsid w:val="00806AE0"/>
    <w:rsid w:val="00846C3D"/>
    <w:rsid w:val="00900388"/>
    <w:rsid w:val="00906D57"/>
    <w:rsid w:val="00914162"/>
    <w:rsid w:val="00926804"/>
    <w:rsid w:val="00937A7F"/>
    <w:rsid w:val="00964666"/>
    <w:rsid w:val="00975B5F"/>
    <w:rsid w:val="00994F2F"/>
    <w:rsid w:val="00997295"/>
    <w:rsid w:val="009A1995"/>
    <w:rsid w:val="00A011BB"/>
    <w:rsid w:val="00A03102"/>
    <w:rsid w:val="00A22EC3"/>
    <w:rsid w:val="00A51528"/>
    <w:rsid w:val="00A6095D"/>
    <w:rsid w:val="00A61E27"/>
    <w:rsid w:val="00A72169"/>
    <w:rsid w:val="00A7393F"/>
    <w:rsid w:val="00AA5A0C"/>
    <w:rsid w:val="00AC0245"/>
    <w:rsid w:val="00AC433F"/>
    <w:rsid w:val="00B130AE"/>
    <w:rsid w:val="00B2489A"/>
    <w:rsid w:val="00B34186"/>
    <w:rsid w:val="00B37355"/>
    <w:rsid w:val="00B62C03"/>
    <w:rsid w:val="00BC0516"/>
    <w:rsid w:val="00BC5B3A"/>
    <w:rsid w:val="00C4239B"/>
    <w:rsid w:val="00C450BF"/>
    <w:rsid w:val="00C45D7B"/>
    <w:rsid w:val="00C55670"/>
    <w:rsid w:val="00C75889"/>
    <w:rsid w:val="00CC5420"/>
    <w:rsid w:val="00D34E33"/>
    <w:rsid w:val="00D8766D"/>
    <w:rsid w:val="00DB68F3"/>
    <w:rsid w:val="00DD07D9"/>
    <w:rsid w:val="00DE1159"/>
    <w:rsid w:val="00DF70F6"/>
    <w:rsid w:val="00E63DC5"/>
    <w:rsid w:val="00E71C1B"/>
    <w:rsid w:val="00E74FFA"/>
    <w:rsid w:val="00E76D18"/>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24DE5-24FB-6940-99C6-3350D781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281</Words>
  <Characters>1718</Characters>
  <Application>Microsoft Office Word</Application>
  <DocSecurity>0</DocSecurity>
  <Lines>122</Lines>
  <Paragraphs>95</Paragraphs>
  <ScaleCrop>false</ScaleCrop>
  <HeadingPairs>
    <vt:vector size="2" baseType="variant">
      <vt:variant>
        <vt:lpstr>Title</vt:lpstr>
      </vt:variant>
      <vt:variant>
        <vt:i4>1</vt:i4>
      </vt:variant>
    </vt:vector>
  </HeadingPairs>
  <TitlesOfParts>
    <vt:vector size="1" baseType="lpstr">
      <vt:lpstr>bedford-county-fpar-summary</vt:lpstr>
    </vt:vector>
  </TitlesOfParts>
  <Manager/>
  <Company>Virginia IT Infrastructure Partnership</Company>
  <LinksUpToDate>false</LinksUpToDate>
  <CharactersWithSpaces>1904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bedford-county-fpar-summary-2019</dc:title>
  <dc:subject/>
  <dc:creator>DOE - NUTRITION (DOE)</dc:creator>
  <cp:keywords/>
  <dc:description/>
  <cp:lastModifiedBy>Kelly Bowman</cp:lastModifiedBy>
  <cp:revision>20</cp:revision>
  <cp:lastPrinted>2018-03-27T12:01:00Z</cp:lastPrinted>
  <dcterms:created xsi:type="dcterms:W3CDTF">2019-06-25T23:08:00Z</dcterms:created>
  <dcterms:modified xsi:type="dcterms:W3CDTF">2019-10-04T21:38:00Z</dcterms:modified>
  <cp:category/>
</cp:coreProperties>
</file>