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173832">
        <w:t>2020-2021</w:t>
      </w:r>
      <w:r w:rsidR="000375B8">
        <w:t>-</w:t>
      </w:r>
      <w:r w:rsidR="00064B1F">
        <w:t>09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064B1F" w:rsidRPr="002F2AF8" w:rsidRDefault="00064B1F" w:rsidP="00064B1F">
      <w:pPr>
        <w:tabs>
          <w:tab w:val="left" w:pos="180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DATE:</w:t>
      </w:r>
      <w:r>
        <w:rPr>
          <w:szCs w:val="24"/>
        </w:rPr>
        <w:t xml:space="preserve"> July 3</w:t>
      </w:r>
      <w:r w:rsidR="00596C48">
        <w:rPr>
          <w:szCs w:val="24"/>
        </w:rPr>
        <w:t>1</w:t>
      </w:r>
      <w:r>
        <w:rPr>
          <w:szCs w:val="24"/>
        </w:rP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418BD">
        <w:rPr>
          <w:sz w:val="32"/>
        </w:rPr>
        <w:t>Information for School Year 2020-2021</w:t>
      </w:r>
    </w:p>
    <w:p w:rsidR="00C15B97" w:rsidRDefault="004418BD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resources for the upcoming school year 2020-2021. </w:t>
      </w:r>
    </w:p>
    <w:p w:rsidR="00C15B97" w:rsidRPr="00C15B97" w:rsidRDefault="00C15B97" w:rsidP="00C15B97">
      <w:pPr>
        <w:pStyle w:val="Heading3"/>
        <w:rPr>
          <w:sz w:val="24"/>
        </w:rPr>
      </w:pPr>
      <w:r>
        <w:rPr>
          <w:sz w:val="24"/>
        </w:rPr>
        <w:t>Reimbursement Rates for School Year 2020-2021</w:t>
      </w:r>
    </w:p>
    <w:p w:rsidR="00482D4D" w:rsidRPr="00C15B97" w:rsidRDefault="004418BD" w:rsidP="00C15B97">
      <w:pPr>
        <w:rPr>
          <w:color w:val="000000"/>
          <w:szCs w:val="24"/>
        </w:rPr>
      </w:pPr>
      <w:r>
        <w:rPr>
          <w:color w:val="000000"/>
          <w:szCs w:val="24"/>
        </w:rPr>
        <w:t>The federal government provides the reimbursement rate</w:t>
      </w:r>
      <w:r w:rsidR="00A15804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for lunches, breakfasts, and afterschool snacks, and for a half-pint of milk served in the Special Milk Program. The rates for the National School Lunch Program (NSLP), the School Breakfast Program (SBP), the Special Milk Program (SMP), </w:t>
      </w:r>
      <w:r w:rsidR="00064B1F">
        <w:rPr>
          <w:color w:val="000000"/>
          <w:szCs w:val="24"/>
        </w:rPr>
        <w:t xml:space="preserve">the Afterschool Snack Program (ASP), </w:t>
      </w:r>
      <w:r>
        <w:rPr>
          <w:color w:val="000000"/>
          <w:szCs w:val="24"/>
        </w:rPr>
        <w:t>and the Child and Adult Care Food Program (CACFP)</w:t>
      </w:r>
      <w:r w:rsidR="00C15B97">
        <w:rPr>
          <w:color w:val="000000"/>
          <w:szCs w:val="24"/>
        </w:rPr>
        <w:t xml:space="preserve"> are detailed in the charts below</w:t>
      </w:r>
      <w:r>
        <w:rPr>
          <w:color w:val="000000"/>
          <w:szCs w:val="24"/>
        </w:rPr>
        <w:t xml:space="preserve">. The rates are prescribed on an annual basis and are effective July 1, 2020 through June 30, 2021.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SLP Rates"/>
        <w:tblDescription w:val="NSLP Rates 2020-2021"/>
      </w:tblPr>
      <w:tblGrid>
        <w:gridCol w:w="1861"/>
        <w:gridCol w:w="1231"/>
        <w:gridCol w:w="1230"/>
        <w:gridCol w:w="1231"/>
        <w:gridCol w:w="1231"/>
        <w:gridCol w:w="1283"/>
        <w:gridCol w:w="1283"/>
      </w:tblGrid>
      <w:tr w:rsidR="004418BD" w:rsidTr="00482D4D">
        <w:trPr>
          <w:tblHeader/>
        </w:trPr>
        <w:tc>
          <w:tcPr>
            <w:tcW w:w="1885" w:type="dxa"/>
          </w:tcPr>
          <w:p w:rsidR="004418BD" w:rsidRPr="004418BD" w:rsidRDefault="004418BD" w:rsidP="00167950">
            <w:pPr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 w:val="28"/>
                <w:szCs w:val="24"/>
              </w:rPr>
              <w:t>NSLP</w:t>
            </w:r>
          </w:p>
        </w:tc>
        <w:tc>
          <w:tcPr>
            <w:tcW w:w="1244" w:type="dxa"/>
          </w:tcPr>
          <w:p w:rsidR="004418BD" w:rsidRPr="004418BD" w:rsidRDefault="004418BD" w:rsidP="004418BD">
            <w:pPr>
              <w:jc w:val="center"/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Cs w:val="24"/>
              </w:rPr>
              <w:t>Less Than 60 %</w:t>
            </w:r>
          </w:p>
        </w:tc>
        <w:tc>
          <w:tcPr>
            <w:tcW w:w="1244" w:type="dxa"/>
          </w:tcPr>
          <w:p w:rsidR="004418BD" w:rsidRPr="004418BD" w:rsidRDefault="004418BD" w:rsidP="004418BD">
            <w:pPr>
              <w:jc w:val="center"/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Cs w:val="24"/>
              </w:rPr>
              <w:t>Less than 60% + 7 cents</w:t>
            </w:r>
          </w:p>
        </w:tc>
        <w:tc>
          <w:tcPr>
            <w:tcW w:w="1244" w:type="dxa"/>
          </w:tcPr>
          <w:p w:rsidR="004418BD" w:rsidRPr="004418BD" w:rsidRDefault="004418BD" w:rsidP="004418BD">
            <w:pPr>
              <w:jc w:val="center"/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Cs w:val="24"/>
              </w:rPr>
              <w:t>60 % or More</w:t>
            </w:r>
          </w:p>
        </w:tc>
        <w:tc>
          <w:tcPr>
            <w:tcW w:w="1244" w:type="dxa"/>
          </w:tcPr>
          <w:p w:rsidR="004418BD" w:rsidRPr="004418BD" w:rsidRDefault="004418BD" w:rsidP="004418BD">
            <w:pPr>
              <w:jc w:val="center"/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Cs w:val="24"/>
              </w:rPr>
              <w:t>60% or More + 7 cents</w:t>
            </w:r>
          </w:p>
        </w:tc>
        <w:tc>
          <w:tcPr>
            <w:tcW w:w="1244" w:type="dxa"/>
          </w:tcPr>
          <w:p w:rsidR="004418BD" w:rsidRPr="004418BD" w:rsidRDefault="004418BD" w:rsidP="004418BD">
            <w:pPr>
              <w:jc w:val="center"/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Cs w:val="24"/>
              </w:rPr>
              <w:t>Maximum Rate</w:t>
            </w:r>
          </w:p>
        </w:tc>
        <w:tc>
          <w:tcPr>
            <w:tcW w:w="1245" w:type="dxa"/>
          </w:tcPr>
          <w:p w:rsidR="004418BD" w:rsidRPr="004418BD" w:rsidRDefault="004418BD" w:rsidP="004418BD">
            <w:pPr>
              <w:jc w:val="center"/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Cs w:val="24"/>
              </w:rPr>
              <w:t>Maximum Rate + 7 cents</w:t>
            </w:r>
          </w:p>
        </w:tc>
      </w:tr>
      <w:tr w:rsidR="004418BD" w:rsidTr="004418BD">
        <w:tc>
          <w:tcPr>
            <w:tcW w:w="1885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Paid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$ 0.33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$ 0.40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$ 0.35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$ 0.42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$ 0.41</w:t>
            </w:r>
          </w:p>
        </w:tc>
        <w:tc>
          <w:tcPr>
            <w:tcW w:w="1245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$ 0.48</w:t>
            </w:r>
          </w:p>
        </w:tc>
      </w:tr>
      <w:tr w:rsidR="004418BD" w:rsidTr="004418BD">
        <w:tc>
          <w:tcPr>
            <w:tcW w:w="1885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Reduced Price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$ 3.11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$ 3.18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$ 3.13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$ 3.20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$ 3.28</w:t>
            </w:r>
          </w:p>
        </w:tc>
        <w:tc>
          <w:tcPr>
            <w:tcW w:w="1245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$ 3.35</w:t>
            </w:r>
          </w:p>
        </w:tc>
      </w:tr>
      <w:tr w:rsidR="004418BD" w:rsidTr="004418BD">
        <w:tc>
          <w:tcPr>
            <w:tcW w:w="1885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Free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$ 3.51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$ 3.58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$ 3.53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$ 3.60</w:t>
            </w:r>
          </w:p>
        </w:tc>
        <w:tc>
          <w:tcPr>
            <w:tcW w:w="1244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$ 3.68</w:t>
            </w:r>
          </w:p>
        </w:tc>
        <w:tc>
          <w:tcPr>
            <w:tcW w:w="1245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$ 3.75</w:t>
            </w:r>
          </w:p>
        </w:tc>
      </w:tr>
    </w:tbl>
    <w:p w:rsidR="004418BD" w:rsidRDefault="004418BD" w:rsidP="004418BD">
      <w:pPr>
        <w:spacing w:after="0"/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BP Rates"/>
        <w:tblDescription w:val="SBP Rates 2020-2021"/>
      </w:tblPr>
      <w:tblGrid>
        <w:gridCol w:w="3116"/>
        <w:gridCol w:w="3117"/>
        <w:gridCol w:w="3117"/>
      </w:tblGrid>
      <w:tr w:rsidR="004418BD" w:rsidTr="00482D4D">
        <w:trPr>
          <w:tblHeader/>
        </w:trPr>
        <w:tc>
          <w:tcPr>
            <w:tcW w:w="3116" w:type="dxa"/>
          </w:tcPr>
          <w:p w:rsidR="004418BD" w:rsidRPr="004418BD" w:rsidRDefault="004418BD" w:rsidP="00167950">
            <w:pPr>
              <w:rPr>
                <w:b/>
                <w:color w:val="000000"/>
                <w:szCs w:val="24"/>
              </w:rPr>
            </w:pPr>
            <w:r w:rsidRPr="004418BD">
              <w:rPr>
                <w:b/>
                <w:color w:val="000000"/>
                <w:sz w:val="28"/>
                <w:szCs w:val="24"/>
              </w:rPr>
              <w:t>SBP</w:t>
            </w:r>
          </w:p>
        </w:tc>
        <w:tc>
          <w:tcPr>
            <w:tcW w:w="3117" w:type="dxa"/>
          </w:tcPr>
          <w:p w:rsidR="004418BD" w:rsidRPr="004418BD" w:rsidRDefault="004418BD" w:rsidP="004418BD">
            <w:pPr>
              <w:jc w:val="center"/>
              <w:rPr>
                <w:b/>
                <w:szCs w:val="24"/>
              </w:rPr>
            </w:pPr>
            <w:r w:rsidRPr="004418BD">
              <w:rPr>
                <w:b/>
                <w:szCs w:val="24"/>
              </w:rPr>
              <w:t>Non-severe Need</w:t>
            </w:r>
          </w:p>
        </w:tc>
        <w:tc>
          <w:tcPr>
            <w:tcW w:w="3117" w:type="dxa"/>
          </w:tcPr>
          <w:p w:rsidR="004418BD" w:rsidRPr="004418BD" w:rsidRDefault="004418BD" w:rsidP="004418BD">
            <w:pPr>
              <w:jc w:val="center"/>
              <w:rPr>
                <w:b/>
                <w:szCs w:val="24"/>
              </w:rPr>
            </w:pPr>
            <w:r w:rsidRPr="004418BD">
              <w:rPr>
                <w:b/>
                <w:szCs w:val="24"/>
              </w:rPr>
              <w:t>Severe Need</w:t>
            </w:r>
          </w:p>
        </w:tc>
      </w:tr>
      <w:tr w:rsidR="004418BD" w:rsidTr="00482D4D">
        <w:trPr>
          <w:tblHeader/>
        </w:trPr>
        <w:tc>
          <w:tcPr>
            <w:tcW w:w="3116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Paid</w:t>
            </w:r>
          </w:p>
        </w:tc>
        <w:tc>
          <w:tcPr>
            <w:tcW w:w="3117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$ 0.32</w:t>
            </w:r>
          </w:p>
        </w:tc>
        <w:tc>
          <w:tcPr>
            <w:tcW w:w="3117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$ 0.32</w:t>
            </w:r>
          </w:p>
        </w:tc>
      </w:tr>
      <w:tr w:rsidR="004418BD" w:rsidTr="00482D4D">
        <w:trPr>
          <w:tblHeader/>
        </w:trPr>
        <w:tc>
          <w:tcPr>
            <w:tcW w:w="3116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Reduced Price</w:t>
            </w:r>
          </w:p>
        </w:tc>
        <w:tc>
          <w:tcPr>
            <w:tcW w:w="3117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$ 1.59</w:t>
            </w:r>
          </w:p>
        </w:tc>
        <w:tc>
          <w:tcPr>
            <w:tcW w:w="3117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$ 1.96</w:t>
            </w:r>
          </w:p>
        </w:tc>
      </w:tr>
      <w:tr w:rsidR="004418BD" w:rsidTr="00482D4D">
        <w:trPr>
          <w:tblHeader/>
        </w:trPr>
        <w:tc>
          <w:tcPr>
            <w:tcW w:w="3116" w:type="dxa"/>
          </w:tcPr>
          <w:p w:rsidR="004418BD" w:rsidRDefault="0016677C" w:rsidP="001667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Free</w:t>
            </w:r>
          </w:p>
        </w:tc>
        <w:tc>
          <w:tcPr>
            <w:tcW w:w="3117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$ 1.89</w:t>
            </w:r>
          </w:p>
        </w:tc>
        <w:tc>
          <w:tcPr>
            <w:tcW w:w="3117" w:type="dxa"/>
          </w:tcPr>
          <w:p w:rsidR="004418BD" w:rsidRDefault="004418B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$ 2.26</w:t>
            </w:r>
          </w:p>
        </w:tc>
      </w:tr>
    </w:tbl>
    <w:p w:rsidR="004418BD" w:rsidRDefault="004418BD" w:rsidP="00482D4D">
      <w:pPr>
        <w:spacing w:after="0"/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MP Rates"/>
        <w:tblDescription w:val="SMP Rates 2020-2021"/>
      </w:tblPr>
      <w:tblGrid>
        <w:gridCol w:w="3685"/>
        <w:gridCol w:w="1888"/>
        <w:gridCol w:w="1888"/>
        <w:gridCol w:w="1889"/>
      </w:tblGrid>
      <w:tr w:rsidR="00482D4D" w:rsidTr="00482D4D">
        <w:trPr>
          <w:tblHeader/>
        </w:trPr>
        <w:tc>
          <w:tcPr>
            <w:tcW w:w="3685" w:type="dxa"/>
          </w:tcPr>
          <w:p w:rsidR="00482D4D" w:rsidRPr="00482D4D" w:rsidRDefault="00482D4D" w:rsidP="00064B1F">
            <w:pPr>
              <w:rPr>
                <w:b/>
                <w:color w:val="000000"/>
                <w:szCs w:val="24"/>
              </w:rPr>
            </w:pPr>
            <w:r w:rsidRPr="00482D4D">
              <w:rPr>
                <w:b/>
                <w:color w:val="000000"/>
                <w:sz w:val="28"/>
                <w:szCs w:val="24"/>
              </w:rPr>
              <w:t>SMP</w:t>
            </w:r>
          </w:p>
        </w:tc>
        <w:tc>
          <w:tcPr>
            <w:tcW w:w="1888" w:type="dxa"/>
          </w:tcPr>
          <w:p w:rsidR="00482D4D" w:rsidRPr="00482D4D" w:rsidRDefault="00482D4D" w:rsidP="00482D4D">
            <w:pPr>
              <w:jc w:val="center"/>
              <w:rPr>
                <w:b/>
                <w:color w:val="000000"/>
                <w:szCs w:val="24"/>
              </w:rPr>
            </w:pPr>
            <w:r w:rsidRPr="00482D4D">
              <w:rPr>
                <w:b/>
                <w:color w:val="000000"/>
                <w:szCs w:val="24"/>
              </w:rPr>
              <w:t>All Milk</w:t>
            </w:r>
          </w:p>
        </w:tc>
        <w:tc>
          <w:tcPr>
            <w:tcW w:w="1888" w:type="dxa"/>
          </w:tcPr>
          <w:p w:rsidR="00482D4D" w:rsidRPr="00482D4D" w:rsidRDefault="00482D4D" w:rsidP="00482D4D">
            <w:pPr>
              <w:jc w:val="center"/>
              <w:rPr>
                <w:b/>
                <w:color w:val="000000"/>
                <w:szCs w:val="24"/>
              </w:rPr>
            </w:pPr>
            <w:r w:rsidRPr="00482D4D">
              <w:rPr>
                <w:b/>
                <w:color w:val="000000"/>
                <w:szCs w:val="24"/>
              </w:rPr>
              <w:t>Paid Milk</w:t>
            </w:r>
          </w:p>
        </w:tc>
        <w:tc>
          <w:tcPr>
            <w:tcW w:w="1889" w:type="dxa"/>
          </w:tcPr>
          <w:p w:rsidR="00482D4D" w:rsidRPr="00482D4D" w:rsidRDefault="00482D4D" w:rsidP="00482D4D">
            <w:pPr>
              <w:jc w:val="center"/>
              <w:rPr>
                <w:b/>
                <w:color w:val="000000"/>
                <w:szCs w:val="24"/>
              </w:rPr>
            </w:pPr>
            <w:r w:rsidRPr="00482D4D">
              <w:rPr>
                <w:b/>
                <w:color w:val="000000"/>
                <w:szCs w:val="24"/>
              </w:rPr>
              <w:t>Free Milk</w:t>
            </w:r>
          </w:p>
        </w:tc>
      </w:tr>
      <w:tr w:rsidR="00482D4D" w:rsidTr="00482D4D">
        <w:tc>
          <w:tcPr>
            <w:tcW w:w="3685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Pricing program without free option</w:t>
            </w:r>
          </w:p>
        </w:tc>
        <w:tc>
          <w:tcPr>
            <w:tcW w:w="1888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.2025</w:t>
            </w:r>
          </w:p>
        </w:tc>
        <w:tc>
          <w:tcPr>
            <w:tcW w:w="1888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N/A</w:t>
            </w:r>
          </w:p>
        </w:tc>
        <w:tc>
          <w:tcPr>
            <w:tcW w:w="1889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N/A</w:t>
            </w:r>
          </w:p>
        </w:tc>
      </w:tr>
      <w:tr w:rsidR="00482D4D" w:rsidTr="00482D4D">
        <w:trPr>
          <w:trHeight w:val="276"/>
        </w:trPr>
        <w:tc>
          <w:tcPr>
            <w:tcW w:w="3685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Pricing programs with free option</w:t>
            </w:r>
          </w:p>
        </w:tc>
        <w:tc>
          <w:tcPr>
            <w:tcW w:w="1888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N/A</w:t>
            </w:r>
          </w:p>
        </w:tc>
        <w:tc>
          <w:tcPr>
            <w:tcW w:w="1888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.2025</w:t>
            </w:r>
          </w:p>
        </w:tc>
        <w:tc>
          <w:tcPr>
            <w:tcW w:w="1889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Average cost of ½ pint of milk</w:t>
            </w:r>
          </w:p>
        </w:tc>
      </w:tr>
      <w:tr w:rsidR="00482D4D" w:rsidTr="00482D4D">
        <w:trPr>
          <w:trHeight w:val="276"/>
        </w:trPr>
        <w:tc>
          <w:tcPr>
            <w:tcW w:w="3685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Non</w:t>
            </w:r>
            <w:r w:rsidR="00A15804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pricing programs</w:t>
            </w:r>
          </w:p>
        </w:tc>
        <w:tc>
          <w:tcPr>
            <w:tcW w:w="1888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.2025</w:t>
            </w:r>
          </w:p>
        </w:tc>
        <w:tc>
          <w:tcPr>
            <w:tcW w:w="1888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N/A</w:t>
            </w:r>
          </w:p>
        </w:tc>
        <w:tc>
          <w:tcPr>
            <w:tcW w:w="1889" w:type="dxa"/>
          </w:tcPr>
          <w:p w:rsidR="00482D4D" w:rsidRDefault="00482D4D" w:rsidP="001679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N/A</w:t>
            </w:r>
          </w:p>
        </w:tc>
      </w:tr>
    </w:tbl>
    <w:p w:rsidR="00482D4D" w:rsidRDefault="00482D4D" w:rsidP="00482D4D">
      <w:pPr>
        <w:spacing w:after="0"/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fterschool Snack Rates"/>
        <w:tblDescription w:val="Afterschool Snack Program Rates 2020-2021"/>
      </w:tblPr>
      <w:tblGrid>
        <w:gridCol w:w="4675"/>
        <w:gridCol w:w="4675"/>
      </w:tblGrid>
      <w:tr w:rsidR="00482D4D" w:rsidTr="00482D4D">
        <w:trPr>
          <w:tblHeader/>
        </w:trPr>
        <w:tc>
          <w:tcPr>
            <w:tcW w:w="4675" w:type="dxa"/>
          </w:tcPr>
          <w:p w:rsidR="00482D4D" w:rsidRPr="00482D4D" w:rsidRDefault="00482D4D" w:rsidP="00064B1F">
            <w:pPr>
              <w:rPr>
                <w:b/>
                <w:color w:val="000000"/>
                <w:szCs w:val="24"/>
              </w:rPr>
            </w:pPr>
            <w:r w:rsidRPr="00482D4D">
              <w:rPr>
                <w:b/>
                <w:color w:val="000000"/>
                <w:sz w:val="28"/>
                <w:szCs w:val="24"/>
              </w:rPr>
              <w:t>ASP</w:t>
            </w:r>
          </w:p>
        </w:tc>
        <w:tc>
          <w:tcPr>
            <w:tcW w:w="4675" w:type="dxa"/>
          </w:tcPr>
          <w:p w:rsidR="00482D4D" w:rsidRPr="00482D4D" w:rsidRDefault="00482D4D" w:rsidP="00167950">
            <w:pPr>
              <w:rPr>
                <w:b/>
                <w:color w:val="000000"/>
                <w:szCs w:val="24"/>
              </w:rPr>
            </w:pPr>
            <w:r w:rsidRPr="00482D4D">
              <w:rPr>
                <w:b/>
                <w:color w:val="000000"/>
                <w:szCs w:val="24"/>
              </w:rPr>
              <w:t>Rate</w:t>
            </w:r>
          </w:p>
        </w:tc>
      </w:tr>
      <w:tr w:rsidR="00482D4D" w:rsidTr="00482D4D">
        <w:tc>
          <w:tcPr>
            <w:tcW w:w="4675" w:type="dxa"/>
          </w:tcPr>
          <w:p w:rsidR="00482D4D" w:rsidRDefault="00482D4D" w:rsidP="00482D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Paid</w:t>
            </w:r>
          </w:p>
        </w:tc>
        <w:tc>
          <w:tcPr>
            <w:tcW w:w="4675" w:type="dxa"/>
          </w:tcPr>
          <w:p w:rsidR="00482D4D" w:rsidRDefault="00482D4D" w:rsidP="00482D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$ 0.08</w:t>
            </w:r>
          </w:p>
        </w:tc>
      </w:tr>
      <w:tr w:rsidR="00482D4D" w:rsidTr="00482D4D">
        <w:tc>
          <w:tcPr>
            <w:tcW w:w="4675" w:type="dxa"/>
          </w:tcPr>
          <w:p w:rsidR="00482D4D" w:rsidRDefault="00482D4D" w:rsidP="00482D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Reduced Price</w:t>
            </w:r>
          </w:p>
        </w:tc>
        <w:tc>
          <w:tcPr>
            <w:tcW w:w="4675" w:type="dxa"/>
          </w:tcPr>
          <w:p w:rsidR="00482D4D" w:rsidRDefault="00482D4D" w:rsidP="00482D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$ 0.48</w:t>
            </w:r>
          </w:p>
        </w:tc>
      </w:tr>
      <w:tr w:rsidR="00482D4D" w:rsidTr="00482D4D">
        <w:tc>
          <w:tcPr>
            <w:tcW w:w="4675" w:type="dxa"/>
          </w:tcPr>
          <w:p w:rsidR="00482D4D" w:rsidRDefault="00735001" w:rsidP="00482D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Free</w:t>
            </w:r>
          </w:p>
        </w:tc>
        <w:tc>
          <w:tcPr>
            <w:tcW w:w="4675" w:type="dxa"/>
          </w:tcPr>
          <w:p w:rsidR="00482D4D" w:rsidRDefault="00482D4D" w:rsidP="00482D4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$ 0.96</w:t>
            </w:r>
          </w:p>
        </w:tc>
      </w:tr>
    </w:tbl>
    <w:p w:rsidR="0035455D" w:rsidRDefault="0035455D" w:rsidP="0035455D">
      <w:pPr>
        <w:pStyle w:val="Heading3"/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CFP Rates"/>
        <w:tblDescription w:val="CACFP Rates 2020-2021"/>
      </w:tblPr>
      <w:tblGrid>
        <w:gridCol w:w="2965"/>
        <w:gridCol w:w="2128"/>
        <w:gridCol w:w="2128"/>
        <w:gridCol w:w="2129"/>
      </w:tblGrid>
      <w:tr w:rsidR="0035455D" w:rsidTr="006C4CED">
        <w:trPr>
          <w:tblHeader/>
        </w:trPr>
        <w:tc>
          <w:tcPr>
            <w:tcW w:w="2965" w:type="dxa"/>
          </w:tcPr>
          <w:p w:rsidR="0035455D" w:rsidRPr="0035455D" w:rsidRDefault="0035455D" w:rsidP="0035455D">
            <w:pPr>
              <w:rPr>
                <w:b/>
              </w:rPr>
            </w:pPr>
            <w:r w:rsidRPr="0035455D">
              <w:rPr>
                <w:b/>
                <w:sz w:val="28"/>
              </w:rPr>
              <w:t>CACFP</w:t>
            </w:r>
          </w:p>
        </w:tc>
        <w:tc>
          <w:tcPr>
            <w:tcW w:w="2128" w:type="dxa"/>
          </w:tcPr>
          <w:p w:rsidR="0035455D" w:rsidRPr="0035455D" w:rsidRDefault="0035455D" w:rsidP="0035455D">
            <w:pPr>
              <w:jc w:val="center"/>
              <w:rPr>
                <w:b/>
              </w:rPr>
            </w:pPr>
            <w:r>
              <w:rPr>
                <w:b/>
              </w:rPr>
              <w:t xml:space="preserve">Breakfast </w:t>
            </w:r>
          </w:p>
        </w:tc>
        <w:tc>
          <w:tcPr>
            <w:tcW w:w="2128" w:type="dxa"/>
          </w:tcPr>
          <w:p w:rsidR="0035455D" w:rsidRPr="0035455D" w:rsidRDefault="0035455D" w:rsidP="0035455D">
            <w:pPr>
              <w:jc w:val="center"/>
              <w:rPr>
                <w:b/>
              </w:rPr>
            </w:pPr>
            <w:r>
              <w:rPr>
                <w:b/>
              </w:rPr>
              <w:t>Lunch/ Supper</w:t>
            </w:r>
          </w:p>
        </w:tc>
        <w:tc>
          <w:tcPr>
            <w:tcW w:w="2129" w:type="dxa"/>
          </w:tcPr>
          <w:p w:rsidR="0035455D" w:rsidRPr="0035455D" w:rsidRDefault="0035455D" w:rsidP="0035455D">
            <w:pPr>
              <w:jc w:val="center"/>
              <w:rPr>
                <w:b/>
              </w:rPr>
            </w:pPr>
            <w:r>
              <w:rPr>
                <w:b/>
              </w:rPr>
              <w:t>Supplement</w:t>
            </w:r>
          </w:p>
        </w:tc>
      </w:tr>
      <w:tr w:rsidR="0035455D" w:rsidTr="0035455D">
        <w:tc>
          <w:tcPr>
            <w:tcW w:w="2965" w:type="dxa"/>
          </w:tcPr>
          <w:p w:rsidR="0035455D" w:rsidRDefault="0035455D" w:rsidP="003545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Paid</w:t>
            </w:r>
          </w:p>
        </w:tc>
        <w:tc>
          <w:tcPr>
            <w:tcW w:w="2128" w:type="dxa"/>
          </w:tcPr>
          <w:p w:rsidR="0035455D" w:rsidRDefault="0035455D" w:rsidP="0035455D">
            <w:r>
              <w:t>$ 0.32</w:t>
            </w:r>
          </w:p>
        </w:tc>
        <w:tc>
          <w:tcPr>
            <w:tcW w:w="2128" w:type="dxa"/>
          </w:tcPr>
          <w:p w:rsidR="0035455D" w:rsidRDefault="0035455D" w:rsidP="0035455D">
            <w:r>
              <w:t>$ 0.33</w:t>
            </w:r>
          </w:p>
        </w:tc>
        <w:tc>
          <w:tcPr>
            <w:tcW w:w="2129" w:type="dxa"/>
          </w:tcPr>
          <w:p w:rsidR="0035455D" w:rsidRDefault="0035455D" w:rsidP="0035455D">
            <w:r>
              <w:t>$ 0.08</w:t>
            </w:r>
          </w:p>
        </w:tc>
      </w:tr>
      <w:tr w:rsidR="0035455D" w:rsidTr="0035455D">
        <w:tc>
          <w:tcPr>
            <w:tcW w:w="2965" w:type="dxa"/>
          </w:tcPr>
          <w:p w:rsidR="0035455D" w:rsidRDefault="0035455D" w:rsidP="003545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Reduced Price</w:t>
            </w:r>
          </w:p>
        </w:tc>
        <w:tc>
          <w:tcPr>
            <w:tcW w:w="2128" w:type="dxa"/>
          </w:tcPr>
          <w:p w:rsidR="0035455D" w:rsidRDefault="0035455D" w:rsidP="0035455D">
            <w:r>
              <w:t>$ 1.59</w:t>
            </w:r>
          </w:p>
        </w:tc>
        <w:tc>
          <w:tcPr>
            <w:tcW w:w="2128" w:type="dxa"/>
          </w:tcPr>
          <w:p w:rsidR="0035455D" w:rsidRDefault="0035455D" w:rsidP="0035455D">
            <w:r>
              <w:t>$ 3.11</w:t>
            </w:r>
          </w:p>
        </w:tc>
        <w:tc>
          <w:tcPr>
            <w:tcW w:w="2129" w:type="dxa"/>
          </w:tcPr>
          <w:p w:rsidR="0035455D" w:rsidRDefault="0035455D" w:rsidP="0035455D">
            <w:r>
              <w:t>$ 0.48</w:t>
            </w:r>
          </w:p>
        </w:tc>
      </w:tr>
      <w:tr w:rsidR="0035455D" w:rsidTr="0035455D">
        <w:tc>
          <w:tcPr>
            <w:tcW w:w="2965" w:type="dxa"/>
          </w:tcPr>
          <w:p w:rsidR="0035455D" w:rsidRDefault="00735001" w:rsidP="003545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Free</w:t>
            </w:r>
          </w:p>
        </w:tc>
        <w:tc>
          <w:tcPr>
            <w:tcW w:w="2128" w:type="dxa"/>
          </w:tcPr>
          <w:p w:rsidR="0035455D" w:rsidRDefault="0035455D" w:rsidP="0035455D">
            <w:r>
              <w:t>$ 1.89</w:t>
            </w:r>
          </w:p>
        </w:tc>
        <w:tc>
          <w:tcPr>
            <w:tcW w:w="2128" w:type="dxa"/>
          </w:tcPr>
          <w:p w:rsidR="0035455D" w:rsidRDefault="0035455D" w:rsidP="0035455D">
            <w:r>
              <w:t>$ 3.51</w:t>
            </w:r>
          </w:p>
        </w:tc>
        <w:tc>
          <w:tcPr>
            <w:tcW w:w="2129" w:type="dxa"/>
          </w:tcPr>
          <w:p w:rsidR="0035455D" w:rsidRDefault="0035455D" w:rsidP="0035455D">
            <w:r>
              <w:t>$ 0.96</w:t>
            </w:r>
          </w:p>
        </w:tc>
      </w:tr>
    </w:tbl>
    <w:p w:rsidR="00482D4D" w:rsidRDefault="00482D4D" w:rsidP="00482D4D">
      <w:pPr>
        <w:pStyle w:val="Heading3"/>
        <w:spacing w:before="240"/>
        <w:rPr>
          <w:sz w:val="24"/>
        </w:rPr>
      </w:pPr>
      <w:r>
        <w:rPr>
          <w:sz w:val="24"/>
        </w:rPr>
        <w:t>Calendar of Yearly Events</w:t>
      </w:r>
    </w:p>
    <w:p w:rsidR="00482D4D" w:rsidRDefault="00482D4D" w:rsidP="00482D4D">
      <w:r>
        <w:t>The Office of School Nutrition Programs issues a yearly calendar that details important dates in the upcoming school year. Th</w:t>
      </w:r>
      <w:r w:rsidR="00A15804">
        <w:t xml:space="preserve">ere are sections </w:t>
      </w:r>
      <w:r w:rsidR="000D2833">
        <w:t>for important information</w:t>
      </w:r>
      <w:r w:rsidR="00A15804">
        <w:t xml:space="preserve"> and</w:t>
      </w:r>
      <w:r w:rsidR="000D2833">
        <w:t xml:space="preserve"> release dates, school nutrition promotion dates, training dates</w:t>
      </w:r>
      <w:r w:rsidR="00A15804">
        <w:t>,</w:t>
      </w:r>
      <w:r w:rsidR="000D2833">
        <w:t xml:space="preserve"> and claim due dates. The calendar is Attachment A to this memo. </w:t>
      </w:r>
    </w:p>
    <w:p w:rsidR="000D2833" w:rsidRPr="00482D4D" w:rsidRDefault="000D2833" w:rsidP="00482D4D">
      <w:r>
        <w:t xml:space="preserve">If you have any questions please contact your assigned </w:t>
      </w:r>
      <w:r w:rsidR="00A15804">
        <w:t xml:space="preserve">SNP or CNP </w:t>
      </w:r>
      <w:r>
        <w:t>regional specialist.</w:t>
      </w:r>
    </w:p>
    <w:p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64B1F">
        <w:rPr>
          <w:color w:val="000000"/>
          <w:szCs w:val="24"/>
        </w:rPr>
        <w:t>BDB/cc</w:t>
      </w:r>
    </w:p>
    <w:p w:rsidR="006C4CED" w:rsidRPr="00851C0B" w:rsidRDefault="006C4CED" w:rsidP="00167950">
      <w:pPr>
        <w:rPr>
          <w:color w:val="000000"/>
          <w:szCs w:val="24"/>
        </w:rPr>
      </w:pPr>
      <w:r>
        <w:rPr>
          <w:color w:val="000000"/>
          <w:szCs w:val="24"/>
        </w:rPr>
        <w:t>Attachment A: School Year 2020-2021 Event Calendar</w:t>
      </w:r>
    </w:p>
    <w:sectPr w:rsidR="006C4CE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7F" w:rsidRDefault="00C6567F" w:rsidP="00B25322">
      <w:pPr>
        <w:spacing w:after="0" w:line="240" w:lineRule="auto"/>
      </w:pPr>
      <w:r>
        <w:separator/>
      </w:r>
    </w:p>
  </w:endnote>
  <w:endnote w:type="continuationSeparator" w:id="0">
    <w:p w:rsidR="00C6567F" w:rsidRDefault="00C6567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7F" w:rsidRDefault="00C6567F" w:rsidP="00B25322">
      <w:pPr>
        <w:spacing w:after="0" w:line="240" w:lineRule="auto"/>
      </w:pPr>
      <w:r>
        <w:separator/>
      </w:r>
    </w:p>
  </w:footnote>
  <w:footnote w:type="continuationSeparator" w:id="0">
    <w:p w:rsidR="00C6567F" w:rsidRDefault="00C6567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2118"/>
    <w:rsid w:val="00062952"/>
    <w:rsid w:val="00064B1F"/>
    <w:rsid w:val="000C025A"/>
    <w:rsid w:val="000D2833"/>
    <w:rsid w:val="000E2D83"/>
    <w:rsid w:val="000F6B21"/>
    <w:rsid w:val="0011089A"/>
    <w:rsid w:val="00112776"/>
    <w:rsid w:val="0016677C"/>
    <w:rsid w:val="00167950"/>
    <w:rsid w:val="00173832"/>
    <w:rsid w:val="00223595"/>
    <w:rsid w:val="00227B1E"/>
    <w:rsid w:val="0027145D"/>
    <w:rsid w:val="002739CE"/>
    <w:rsid w:val="002A6350"/>
    <w:rsid w:val="002F2DAF"/>
    <w:rsid w:val="0031177E"/>
    <w:rsid w:val="003238EA"/>
    <w:rsid w:val="0035455D"/>
    <w:rsid w:val="003D05C1"/>
    <w:rsid w:val="003D79AA"/>
    <w:rsid w:val="00406FF4"/>
    <w:rsid w:val="004324F4"/>
    <w:rsid w:val="004418BD"/>
    <w:rsid w:val="00465D0E"/>
    <w:rsid w:val="00480879"/>
    <w:rsid w:val="004829E4"/>
    <w:rsid w:val="00482D4D"/>
    <w:rsid w:val="004F6547"/>
    <w:rsid w:val="00516686"/>
    <w:rsid w:val="00544584"/>
    <w:rsid w:val="00596C48"/>
    <w:rsid w:val="005E06EF"/>
    <w:rsid w:val="00625A9B"/>
    <w:rsid w:val="00653DCC"/>
    <w:rsid w:val="00682119"/>
    <w:rsid w:val="006C4CED"/>
    <w:rsid w:val="0073236D"/>
    <w:rsid w:val="00735001"/>
    <w:rsid w:val="00793593"/>
    <w:rsid w:val="007A73B4"/>
    <w:rsid w:val="007C0B3F"/>
    <w:rsid w:val="007C3E67"/>
    <w:rsid w:val="00846B0C"/>
    <w:rsid w:val="00851C0B"/>
    <w:rsid w:val="008631A7"/>
    <w:rsid w:val="008C4A46"/>
    <w:rsid w:val="008C7826"/>
    <w:rsid w:val="00977AFA"/>
    <w:rsid w:val="009B51FA"/>
    <w:rsid w:val="009C7253"/>
    <w:rsid w:val="00A15804"/>
    <w:rsid w:val="00A26586"/>
    <w:rsid w:val="00A30BC9"/>
    <w:rsid w:val="00A3144F"/>
    <w:rsid w:val="00A65EE6"/>
    <w:rsid w:val="00A67B2F"/>
    <w:rsid w:val="00AD228F"/>
    <w:rsid w:val="00AE65FD"/>
    <w:rsid w:val="00AF46F6"/>
    <w:rsid w:val="00B01E92"/>
    <w:rsid w:val="00B25322"/>
    <w:rsid w:val="00B365C3"/>
    <w:rsid w:val="00BC1A9C"/>
    <w:rsid w:val="00BE00E6"/>
    <w:rsid w:val="00BF5B4D"/>
    <w:rsid w:val="00C04A1D"/>
    <w:rsid w:val="00C07DFE"/>
    <w:rsid w:val="00C15B97"/>
    <w:rsid w:val="00C23584"/>
    <w:rsid w:val="00C24D60"/>
    <w:rsid w:val="00C25FA1"/>
    <w:rsid w:val="00C6567F"/>
    <w:rsid w:val="00C92D82"/>
    <w:rsid w:val="00CA70A4"/>
    <w:rsid w:val="00CF0233"/>
    <w:rsid w:val="00D534B4"/>
    <w:rsid w:val="00D55B56"/>
    <w:rsid w:val="00D76D70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C6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44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43CE-7954-4558-86BD-84FAFEC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#2020-2021-09, Information for School Year 2020-2021</vt:lpstr>
    </vt:vector>
  </TitlesOfParts>
  <LinksUpToDate>false</LinksUpToDate>
  <CharactersWithSpaces>2132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#2020-2021-09, Information for School Year 2020-2021</dc:title>
  <dc:creator/>
  <cp:lastModifiedBy/>
  <cp:revision>1</cp:revision>
  <dcterms:created xsi:type="dcterms:W3CDTF">2020-07-31T13:07:00Z</dcterms:created>
  <dcterms:modified xsi:type="dcterms:W3CDTF">2020-07-31T13:07:00Z</dcterms:modified>
</cp:coreProperties>
</file>