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D2BE2" w14:textId="417F5E53" w:rsidR="00167950" w:rsidRPr="00D534B4" w:rsidRDefault="00C24D60" w:rsidP="00202E9F">
      <w:pPr>
        <w:pStyle w:val="Heading1"/>
        <w:tabs>
          <w:tab w:val="left" w:pos="1440"/>
        </w:tabs>
      </w:pPr>
      <w:bookmarkStart w:id="0" w:name="_GoBack"/>
      <w:bookmarkEnd w:id="0"/>
      <w:r>
        <w:t xml:space="preserve">SNP </w:t>
      </w:r>
      <w:r w:rsidR="00167950">
        <w:t>Memo #</w:t>
      </w:r>
      <w:r w:rsidR="003E1973">
        <w:t>2021-2022-</w:t>
      </w:r>
      <w:r w:rsidR="0025139A">
        <w:t>34</w:t>
      </w:r>
    </w:p>
    <w:p w14:paraId="580947CE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6987DB9C" wp14:editId="1C00E550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77148758" w14:textId="4E5268CC" w:rsidR="00167950" w:rsidRPr="00A65EE6" w:rsidRDefault="00167950" w:rsidP="00167950">
      <w:r w:rsidRPr="00A65EE6">
        <w:t xml:space="preserve">DATE: </w:t>
      </w:r>
      <w:r w:rsidR="00686988">
        <w:t>April</w:t>
      </w:r>
      <w:r w:rsidR="003E1973">
        <w:t xml:space="preserve"> </w:t>
      </w:r>
      <w:r w:rsidR="0025139A">
        <w:t>15</w:t>
      </w:r>
      <w:r w:rsidR="003E1973">
        <w:t>, 2022</w:t>
      </w:r>
    </w:p>
    <w:p w14:paraId="69992F2E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34B3ED6D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75A82FC8" w14:textId="4A8B415C" w:rsidR="00167950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E801BC">
        <w:rPr>
          <w:sz w:val="32"/>
        </w:rPr>
        <w:t>Important Information for Fiscal Year 2021</w:t>
      </w:r>
      <w:r w:rsidR="00501AFB">
        <w:rPr>
          <w:sz w:val="32"/>
        </w:rPr>
        <w:t>–</w:t>
      </w:r>
      <w:r w:rsidR="00E801BC">
        <w:rPr>
          <w:sz w:val="32"/>
        </w:rPr>
        <w:t xml:space="preserve">2022 Summer Food Service Program </w:t>
      </w:r>
    </w:p>
    <w:p w14:paraId="73D6C89A" w14:textId="5B574BCC" w:rsidR="00E801BC" w:rsidRDefault="003E1973" w:rsidP="00AB0776">
      <w:pPr>
        <w:spacing w:before="240" w:after="240"/>
      </w:pPr>
      <w:r>
        <w:t>The purpose</w:t>
      </w:r>
      <w:r w:rsidR="0034014A">
        <w:t xml:space="preserve"> of this memorandum is to notify Summer Food Service Program (SFSP) sponsoring organizations of </w:t>
      </w:r>
      <w:r w:rsidR="00E801BC">
        <w:t>important information related to fiscal year (FY) 2021</w:t>
      </w:r>
      <w:r w:rsidR="00501AFB">
        <w:t>–</w:t>
      </w:r>
      <w:r w:rsidR="00E801BC">
        <w:t>2022 applications and operations.</w:t>
      </w:r>
    </w:p>
    <w:p w14:paraId="4CB66A31" w14:textId="53B28372" w:rsidR="0034014A" w:rsidRDefault="009F4A4B" w:rsidP="0034014A">
      <w:pPr>
        <w:pStyle w:val="Heading3"/>
        <w:spacing w:after="240"/>
        <w:rPr>
          <w:sz w:val="24"/>
        </w:rPr>
      </w:pPr>
      <w:r>
        <w:rPr>
          <w:sz w:val="24"/>
        </w:rPr>
        <w:t>School Data for Establishing Sites</w:t>
      </w:r>
    </w:p>
    <w:p w14:paraId="428FC9D9" w14:textId="60371422" w:rsidR="009F4A4B" w:rsidRDefault="009F4A4B" w:rsidP="009F4A4B">
      <w:r>
        <w:t>To operate the SFSP, feeding sites must be located in areas where 50</w:t>
      </w:r>
      <w:r w:rsidR="00501AFB">
        <w:t xml:space="preserve"> percent</w:t>
      </w:r>
      <w:r>
        <w:t xml:space="preserve"> or more of residing children qualify for free or reduced-price meals through the National School Lunch Program. This eligibility is determined using attendance zones and school data or Census data and</w:t>
      </w:r>
      <w:r w:rsidR="00501AFB">
        <w:t>,</w:t>
      </w:r>
      <w:r>
        <w:t xml:space="preserve"> once established</w:t>
      </w:r>
      <w:r w:rsidR="00501AFB">
        <w:t>,</w:t>
      </w:r>
      <w:r>
        <w:t xml:space="preserve"> is valid for five years.</w:t>
      </w:r>
    </w:p>
    <w:p w14:paraId="5EBD90EB" w14:textId="3631C36F" w:rsidR="00B75D34" w:rsidRDefault="009F4A4B" w:rsidP="009F4A4B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9F4A4B">
        <w:rPr>
          <w:b/>
          <w:i/>
        </w:rPr>
        <w:t>Newly established feeding sites in FY 21</w:t>
      </w:r>
      <w:r w:rsidR="00501AFB">
        <w:rPr>
          <w:b/>
          <w:i/>
        </w:rPr>
        <w:t>–</w:t>
      </w:r>
      <w:r w:rsidRPr="009F4A4B">
        <w:rPr>
          <w:b/>
          <w:i/>
        </w:rPr>
        <w:t>22, or sites past their five-year expiratio</w:t>
      </w:r>
      <w:r>
        <w:rPr>
          <w:b/>
          <w:i/>
        </w:rPr>
        <w:t>n must use school year 2019</w:t>
      </w:r>
      <w:r w:rsidR="00501AFB">
        <w:rPr>
          <w:b/>
          <w:i/>
        </w:rPr>
        <w:t>–</w:t>
      </w:r>
      <w:r>
        <w:rPr>
          <w:b/>
          <w:i/>
        </w:rPr>
        <w:t>2020</w:t>
      </w:r>
      <w:r w:rsidRPr="009F4A4B">
        <w:rPr>
          <w:b/>
          <w:i/>
        </w:rPr>
        <w:t xml:space="preserve"> data to establish area eligibility.</w:t>
      </w:r>
      <w:r w:rsidR="003C6A5C">
        <w:t xml:space="preserve"> This data can be found on the Virginia Department of Education, Office of School Nutrition Program</w:t>
      </w:r>
      <w:r w:rsidR="00501AFB">
        <w:t>s</w:t>
      </w:r>
      <w:r w:rsidR="003C6A5C">
        <w:t xml:space="preserve"> (VDOE-SNP) </w:t>
      </w:r>
      <w:hyperlink r:id="rId10" w:history="1">
        <w:r w:rsidR="00501AFB">
          <w:rPr>
            <w:rStyle w:val="Hyperlink"/>
          </w:rPr>
          <w:t>Program Statistics and Reports webpage</w:t>
        </w:r>
      </w:hyperlink>
      <w:r w:rsidR="00501AFB">
        <w:t xml:space="preserve">. </w:t>
      </w:r>
      <w:r w:rsidR="00EC1E93">
        <w:t>The free claiming percentage, calculated using i</w:t>
      </w:r>
      <w:r w:rsidR="00B75D34">
        <w:t>ndividual student percentage data from April 1, 2021</w:t>
      </w:r>
      <w:r w:rsidR="00EC1E93">
        <w:t>,</w:t>
      </w:r>
      <w:r w:rsidR="00B75D34">
        <w:t xml:space="preserve"> may also be used for schools participating in the Community Eligibility Provision</w:t>
      </w:r>
      <w:r w:rsidR="003C6A5C">
        <w:t xml:space="preserve"> (CEP)</w:t>
      </w:r>
      <w:r w:rsidR="00B75D34">
        <w:t>.</w:t>
      </w:r>
      <w:r w:rsidR="003C6A5C">
        <w:t xml:space="preserve"> Community sponsors may reach out to their assigned Child Nutrition Programs (CNP) </w:t>
      </w:r>
      <w:r w:rsidR="00501AFB">
        <w:t>r</w:t>
      </w:r>
      <w:r w:rsidR="003C6A5C">
        <w:t xml:space="preserve">egional </w:t>
      </w:r>
      <w:r w:rsidR="00501AFB">
        <w:t>s</w:t>
      </w:r>
      <w:r w:rsidR="003C6A5C">
        <w:t>pecialists to access this data if a site does not qualify through attendance zone and school data or Census data.</w:t>
      </w:r>
    </w:p>
    <w:p w14:paraId="0AE5F8EC" w14:textId="2E233771" w:rsidR="001F0488" w:rsidRDefault="001F0488" w:rsidP="001F0488">
      <w:pPr>
        <w:pStyle w:val="Heading3"/>
        <w:spacing w:after="240"/>
        <w:rPr>
          <w:sz w:val="24"/>
        </w:rPr>
      </w:pPr>
      <w:r>
        <w:rPr>
          <w:sz w:val="24"/>
        </w:rPr>
        <w:t>FY 21</w:t>
      </w:r>
      <w:r w:rsidR="00501AFB">
        <w:rPr>
          <w:sz w:val="24"/>
        </w:rPr>
        <w:t>–</w:t>
      </w:r>
      <w:r>
        <w:rPr>
          <w:sz w:val="24"/>
        </w:rPr>
        <w:t>22 Waivers</w:t>
      </w:r>
    </w:p>
    <w:p w14:paraId="65455A21" w14:textId="22C02C4F" w:rsidR="00B75D34" w:rsidRDefault="001F0488" w:rsidP="009F4A4B">
      <w:r>
        <w:t>The U.S. Department of Agriculture (USDA) approved the VDOE-SNP’</w:t>
      </w:r>
      <w:r w:rsidR="003C6A5C">
        <w:t>s</w:t>
      </w:r>
      <w:r>
        <w:t xml:space="preserve"> request to elect the following four rescinded waivers for summer 2022:</w:t>
      </w:r>
    </w:p>
    <w:p w14:paraId="385572E9" w14:textId="11E21782" w:rsidR="001F0488" w:rsidRPr="001F0488" w:rsidRDefault="00F414E8" w:rsidP="001F0488">
      <w:pPr>
        <w:pStyle w:val="ListParagraph"/>
        <w:numPr>
          <w:ilvl w:val="0"/>
          <w:numId w:val="4"/>
        </w:numPr>
        <w:rPr>
          <w:color w:val="202124"/>
          <w:szCs w:val="21"/>
          <w:shd w:val="clear" w:color="auto" w:fill="FFFFFF"/>
        </w:rPr>
      </w:pPr>
      <w:r>
        <w:rPr>
          <w:color w:val="202124"/>
          <w:szCs w:val="21"/>
          <w:shd w:val="clear" w:color="auto" w:fill="FFFFFF"/>
        </w:rPr>
        <w:t>A</w:t>
      </w:r>
      <w:r w:rsidR="001F0488" w:rsidRPr="001F0488">
        <w:rPr>
          <w:color w:val="202124"/>
          <w:szCs w:val="21"/>
          <w:shd w:val="clear" w:color="auto" w:fill="FFFFFF"/>
        </w:rPr>
        <w:t xml:space="preserve">rea </w:t>
      </w:r>
      <w:r>
        <w:rPr>
          <w:color w:val="202124"/>
          <w:szCs w:val="21"/>
          <w:shd w:val="clear" w:color="auto" w:fill="FFFFFF"/>
        </w:rPr>
        <w:t>E</w:t>
      </w:r>
      <w:r w:rsidR="001F0488" w:rsidRPr="001F0488">
        <w:rPr>
          <w:color w:val="202124"/>
          <w:szCs w:val="21"/>
          <w:shd w:val="clear" w:color="auto" w:fill="FFFFFF"/>
        </w:rPr>
        <w:t xml:space="preserve">ligibility for </w:t>
      </w:r>
      <w:r>
        <w:rPr>
          <w:color w:val="202124"/>
          <w:szCs w:val="21"/>
          <w:shd w:val="clear" w:color="auto" w:fill="FFFFFF"/>
        </w:rPr>
        <w:t>C</w:t>
      </w:r>
      <w:r w:rsidR="001F0488" w:rsidRPr="001F0488">
        <w:rPr>
          <w:color w:val="202124"/>
          <w:szCs w:val="21"/>
          <w:shd w:val="clear" w:color="auto" w:fill="FFFFFF"/>
        </w:rPr>
        <w:t xml:space="preserve">losed </w:t>
      </w:r>
      <w:r>
        <w:rPr>
          <w:color w:val="202124"/>
          <w:szCs w:val="21"/>
          <w:shd w:val="clear" w:color="auto" w:fill="FFFFFF"/>
        </w:rPr>
        <w:t>E</w:t>
      </w:r>
      <w:r w:rsidR="001F0488" w:rsidRPr="001F0488">
        <w:rPr>
          <w:color w:val="202124"/>
          <w:szCs w:val="21"/>
          <w:shd w:val="clear" w:color="auto" w:fill="FFFFFF"/>
        </w:rPr>
        <w:t xml:space="preserve">nrolled </w:t>
      </w:r>
      <w:r>
        <w:rPr>
          <w:color w:val="202124"/>
          <w:szCs w:val="21"/>
          <w:shd w:val="clear" w:color="auto" w:fill="FFFFFF"/>
        </w:rPr>
        <w:t>S</w:t>
      </w:r>
      <w:r w:rsidR="001F0488" w:rsidRPr="001F0488">
        <w:rPr>
          <w:color w:val="202124"/>
          <w:szCs w:val="21"/>
          <w:shd w:val="clear" w:color="auto" w:fill="FFFFFF"/>
        </w:rPr>
        <w:t>ites</w:t>
      </w:r>
    </w:p>
    <w:p w14:paraId="609DDECA" w14:textId="5BD8084D" w:rsidR="001F0488" w:rsidRPr="001F0488" w:rsidRDefault="00F414E8" w:rsidP="001F0488">
      <w:pPr>
        <w:pStyle w:val="ListParagraph"/>
        <w:numPr>
          <w:ilvl w:val="0"/>
          <w:numId w:val="4"/>
        </w:numPr>
        <w:rPr>
          <w:color w:val="202124"/>
          <w:szCs w:val="21"/>
          <w:shd w:val="clear" w:color="auto" w:fill="FFFFFF"/>
        </w:rPr>
      </w:pPr>
      <w:r>
        <w:rPr>
          <w:color w:val="202124"/>
          <w:szCs w:val="21"/>
          <w:shd w:val="clear" w:color="auto" w:fill="FFFFFF"/>
        </w:rPr>
        <w:lastRenderedPageBreak/>
        <w:t>O</w:t>
      </w:r>
      <w:r w:rsidR="001F0488" w:rsidRPr="001F0488">
        <w:rPr>
          <w:color w:val="202124"/>
          <w:szCs w:val="21"/>
          <w:shd w:val="clear" w:color="auto" w:fill="FFFFFF"/>
        </w:rPr>
        <w:t xml:space="preserve">ffer versus </w:t>
      </w:r>
      <w:r>
        <w:rPr>
          <w:color w:val="202124"/>
          <w:szCs w:val="21"/>
          <w:shd w:val="clear" w:color="auto" w:fill="FFFFFF"/>
        </w:rPr>
        <w:t>S</w:t>
      </w:r>
      <w:r w:rsidR="001F0488" w:rsidRPr="001F0488">
        <w:rPr>
          <w:color w:val="202124"/>
          <w:szCs w:val="21"/>
          <w:shd w:val="clear" w:color="auto" w:fill="FFFFFF"/>
        </w:rPr>
        <w:t>erve</w:t>
      </w:r>
    </w:p>
    <w:p w14:paraId="204DC75F" w14:textId="275F5849" w:rsidR="001F0488" w:rsidRPr="001F0488" w:rsidRDefault="001F0488" w:rsidP="001F0488">
      <w:pPr>
        <w:pStyle w:val="ListParagraph"/>
        <w:numPr>
          <w:ilvl w:val="0"/>
          <w:numId w:val="4"/>
        </w:numPr>
        <w:rPr>
          <w:color w:val="202124"/>
          <w:szCs w:val="21"/>
          <w:shd w:val="clear" w:color="auto" w:fill="FFFFFF"/>
        </w:rPr>
      </w:pPr>
      <w:r w:rsidRPr="001F0488">
        <w:rPr>
          <w:color w:val="202124"/>
          <w:szCs w:val="21"/>
          <w:shd w:val="clear" w:color="auto" w:fill="FFFFFF"/>
        </w:rPr>
        <w:t xml:space="preserve">Meal </w:t>
      </w:r>
      <w:r w:rsidR="00F414E8">
        <w:rPr>
          <w:color w:val="202124"/>
          <w:szCs w:val="21"/>
          <w:shd w:val="clear" w:color="auto" w:fill="FFFFFF"/>
        </w:rPr>
        <w:t>T</w:t>
      </w:r>
      <w:r w:rsidRPr="001F0488">
        <w:rPr>
          <w:color w:val="202124"/>
          <w:szCs w:val="21"/>
          <w:shd w:val="clear" w:color="auto" w:fill="FFFFFF"/>
        </w:rPr>
        <w:t xml:space="preserve">ime </w:t>
      </w:r>
      <w:r w:rsidR="00F414E8">
        <w:rPr>
          <w:color w:val="202124"/>
          <w:szCs w:val="21"/>
          <w:shd w:val="clear" w:color="auto" w:fill="FFFFFF"/>
        </w:rPr>
        <w:t>R</w:t>
      </w:r>
      <w:r w:rsidRPr="001F0488">
        <w:rPr>
          <w:color w:val="202124"/>
          <w:szCs w:val="21"/>
          <w:shd w:val="clear" w:color="auto" w:fill="FFFFFF"/>
        </w:rPr>
        <w:t>estrictions</w:t>
      </w:r>
    </w:p>
    <w:p w14:paraId="5EDBEE55" w14:textId="40EFC417" w:rsidR="001F0488" w:rsidRDefault="001F0488" w:rsidP="001F0488">
      <w:pPr>
        <w:pStyle w:val="ListParagraph"/>
        <w:numPr>
          <w:ilvl w:val="0"/>
          <w:numId w:val="4"/>
        </w:numPr>
        <w:spacing w:after="240"/>
        <w:rPr>
          <w:color w:val="202124"/>
          <w:szCs w:val="21"/>
          <w:shd w:val="clear" w:color="auto" w:fill="FFFFFF"/>
        </w:rPr>
      </w:pPr>
      <w:r w:rsidRPr="001F0488">
        <w:rPr>
          <w:color w:val="202124"/>
          <w:szCs w:val="21"/>
          <w:shd w:val="clear" w:color="auto" w:fill="FFFFFF"/>
        </w:rPr>
        <w:t xml:space="preserve">First </w:t>
      </w:r>
      <w:r w:rsidR="00F414E8">
        <w:rPr>
          <w:color w:val="202124"/>
          <w:szCs w:val="21"/>
          <w:shd w:val="clear" w:color="auto" w:fill="FFFFFF"/>
        </w:rPr>
        <w:t>W</w:t>
      </w:r>
      <w:r w:rsidRPr="001F0488">
        <w:rPr>
          <w:color w:val="202124"/>
          <w:szCs w:val="21"/>
          <w:shd w:val="clear" w:color="auto" w:fill="FFFFFF"/>
        </w:rPr>
        <w:t xml:space="preserve">eek </w:t>
      </w:r>
      <w:r w:rsidR="00F414E8">
        <w:rPr>
          <w:color w:val="202124"/>
          <w:szCs w:val="21"/>
          <w:shd w:val="clear" w:color="auto" w:fill="FFFFFF"/>
        </w:rPr>
        <w:t>S</w:t>
      </w:r>
      <w:r w:rsidRPr="001F0488">
        <w:rPr>
          <w:color w:val="202124"/>
          <w:szCs w:val="21"/>
          <w:shd w:val="clear" w:color="auto" w:fill="FFFFFF"/>
        </w:rPr>
        <w:t xml:space="preserve">ite </w:t>
      </w:r>
      <w:r w:rsidR="00F414E8">
        <w:rPr>
          <w:color w:val="202124"/>
          <w:szCs w:val="21"/>
          <w:shd w:val="clear" w:color="auto" w:fill="FFFFFF"/>
        </w:rPr>
        <w:t>V</w:t>
      </w:r>
      <w:r w:rsidRPr="001F0488">
        <w:rPr>
          <w:color w:val="202124"/>
          <w:szCs w:val="21"/>
          <w:shd w:val="clear" w:color="auto" w:fill="FFFFFF"/>
        </w:rPr>
        <w:t>isits</w:t>
      </w:r>
    </w:p>
    <w:p w14:paraId="2B072BFE" w14:textId="0F43D593" w:rsidR="001F0488" w:rsidRDefault="001F0488" w:rsidP="001F0488">
      <w:pPr>
        <w:spacing w:after="240"/>
        <w:rPr>
          <w:color w:val="202124"/>
          <w:szCs w:val="21"/>
          <w:shd w:val="clear" w:color="auto" w:fill="FFFFFF"/>
        </w:rPr>
      </w:pPr>
      <w:r>
        <w:rPr>
          <w:color w:val="202124"/>
          <w:szCs w:val="21"/>
          <w:shd w:val="clear" w:color="auto" w:fill="FFFFFF"/>
        </w:rPr>
        <w:t>On March 11, 2022, the VDOE-SNP submitted additional waiver requests to the USDA for the following four waivers:</w:t>
      </w:r>
    </w:p>
    <w:p w14:paraId="38651F7A" w14:textId="49428CA2" w:rsidR="001F0488" w:rsidRDefault="001F0488" w:rsidP="001F0488">
      <w:pPr>
        <w:pStyle w:val="ListParagraph"/>
        <w:numPr>
          <w:ilvl w:val="0"/>
          <w:numId w:val="5"/>
        </w:numPr>
        <w:rPr>
          <w:color w:val="202124"/>
          <w:szCs w:val="21"/>
          <w:shd w:val="clear" w:color="auto" w:fill="FFFFFF"/>
        </w:rPr>
      </w:pPr>
      <w:r>
        <w:rPr>
          <w:color w:val="202124"/>
          <w:szCs w:val="21"/>
          <w:shd w:val="clear" w:color="auto" w:fill="FFFFFF"/>
        </w:rPr>
        <w:t xml:space="preserve">Area </w:t>
      </w:r>
      <w:r w:rsidR="00F414E8">
        <w:rPr>
          <w:color w:val="202124"/>
          <w:szCs w:val="21"/>
          <w:shd w:val="clear" w:color="auto" w:fill="FFFFFF"/>
        </w:rPr>
        <w:t>E</w:t>
      </w:r>
      <w:r>
        <w:rPr>
          <w:color w:val="202124"/>
          <w:szCs w:val="21"/>
          <w:shd w:val="clear" w:color="auto" w:fill="FFFFFF"/>
        </w:rPr>
        <w:t>ligibility</w:t>
      </w:r>
    </w:p>
    <w:p w14:paraId="0DF85C2A" w14:textId="14A6C7FC" w:rsidR="001F0488" w:rsidRDefault="001F0488" w:rsidP="001F0488">
      <w:pPr>
        <w:pStyle w:val="ListParagraph"/>
        <w:numPr>
          <w:ilvl w:val="0"/>
          <w:numId w:val="5"/>
        </w:numPr>
        <w:rPr>
          <w:color w:val="202124"/>
          <w:szCs w:val="21"/>
          <w:shd w:val="clear" w:color="auto" w:fill="FFFFFF"/>
        </w:rPr>
      </w:pPr>
      <w:r>
        <w:rPr>
          <w:color w:val="202124"/>
          <w:szCs w:val="21"/>
          <w:shd w:val="clear" w:color="auto" w:fill="FFFFFF"/>
        </w:rPr>
        <w:t xml:space="preserve">Meal </w:t>
      </w:r>
      <w:r w:rsidR="00F414E8">
        <w:rPr>
          <w:color w:val="202124"/>
          <w:szCs w:val="21"/>
          <w:shd w:val="clear" w:color="auto" w:fill="FFFFFF"/>
        </w:rPr>
        <w:t>P</w:t>
      </w:r>
      <w:r>
        <w:rPr>
          <w:color w:val="202124"/>
          <w:szCs w:val="21"/>
          <w:shd w:val="clear" w:color="auto" w:fill="FFFFFF"/>
        </w:rPr>
        <w:t xml:space="preserve">attern </w:t>
      </w:r>
      <w:r w:rsidR="00F414E8">
        <w:rPr>
          <w:color w:val="202124"/>
          <w:szCs w:val="21"/>
          <w:shd w:val="clear" w:color="auto" w:fill="FFFFFF"/>
        </w:rPr>
        <w:t>F</w:t>
      </w:r>
      <w:r>
        <w:rPr>
          <w:color w:val="202124"/>
          <w:szCs w:val="21"/>
          <w:shd w:val="clear" w:color="auto" w:fill="FFFFFF"/>
        </w:rPr>
        <w:t>lexibility</w:t>
      </w:r>
    </w:p>
    <w:p w14:paraId="45937889" w14:textId="4CBEBCC5" w:rsidR="001F0488" w:rsidRDefault="001F0488" w:rsidP="001F0488">
      <w:pPr>
        <w:pStyle w:val="ListParagraph"/>
        <w:numPr>
          <w:ilvl w:val="0"/>
          <w:numId w:val="5"/>
        </w:numPr>
        <w:rPr>
          <w:color w:val="202124"/>
          <w:szCs w:val="21"/>
          <w:shd w:val="clear" w:color="auto" w:fill="FFFFFF"/>
        </w:rPr>
      </w:pPr>
      <w:r>
        <w:rPr>
          <w:color w:val="202124"/>
          <w:szCs w:val="21"/>
          <w:shd w:val="clear" w:color="auto" w:fill="FFFFFF"/>
        </w:rPr>
        <w:t>Non-</w:t>
      </w:r>
      <w:r w:rsidR="00F414E8">
        <w:rPr>
          <w:color w:val="202124"/>
          <w:szCs w:val="21"/>
          <w:shd w:val="clear" w:color="auto" w:fill="FFFFFF"/>
        </w:rPr>
        <w:t>c</w:t>
      </w:r>
      <w:r>
        <w:rPr>
          <w:color w:val="202124"/>
          <w:szCs w:val="21"/>
          <w:shd w:val="clear" w:color="auto" w:fill="FFFFFF"/>
        </w:rPr>
        <w:t xml:space="preserve">ongregate </w:t>
      </w:r>
      <w:r w:rsidR="00F414E8">
        <w:rPr>
          <w:color w:val="202124"/>
          <w:szCs w:val="21"/>
          <w:shd w:val="clear" w:color="auto" w:fill="FFFFFF"/>
        </w:rPr>
        <w:t>F</w:t>
      </w:r>
      <w:r>
        <w:rPr>
          <w:color w:val="202124"/>
          <w:szCs w:val="21"/>
          <w:shd w:val="clear" w:color="auto" w:fill="FFFFFF"/>
        </w:rPr>
        <w:t>eeding</w:t>
      </w:r>
    </w:p>
    <w:p w14:paraId="577656D3" w14:textId="1CE8C6C5" w:rsidR="001F0488" w:rsidRDefault="001F0488" w:rsidP="001F0488">
      <w:pPr>
        <w:pStyle w:val="ListParagraph"/>
        <w:numPr>
          <w:ilvl w:val="0"/>
          <w:numId w:val="5"/>
        </w:numPr>
        <w:spacing w:after="240"/>
        <w:rPr>
          <w:color w:val="202124"/>
          <w:szCs w:val="21"/>
          <w:shd w:val="clear" w:color="auto" w:fill="FFFFFF"/>
        </w:rPr>
      </w:pPr>
      <w:r>
        <w:rPr>
          <w:color w:val="202124"/>
          <w:szCs w:val="21"/>
          <w:shd w:val="clear" w:color="auto" w:fill="FFFFFF"/>
        </w:rPr>
        <w:t>Parent/</w:t>
      </w:r>
      <w:r w:rsidR="00F414E8">
        <w:rPr>
          <w:color w:val="202124"/>
          <w:szCs w:val="21"/>
          <w:shd w:val="clear" w:color="auto" w:fill="FFFFFF"/>
        </w:rPr>
        <w:t>G</w:t>
      </w:r>
      <w:r>
        <w:rPr>
          <w:color w:val="202124"/>
          <w:szCs w:val="21"/>
          <w:shd w:val="clear" w:color="auto" w:fill="FFFFFF"/>
        </w:rPr>
        <w:t xml:space="preserve">uardian </w:t>
      </w:r>
      <w:r w:rsidR="00F414E8">
        <w:rPr>
          <w:color w:val="202124"/>
          <w:szCs w:val="21"/>
          <w:shd w:val="clear" w:color="auto" w:fill="FFFFFF"/>
        </w:rPr>
        <w:t>P</w:t>
      </w:r>
      <w:r>
        <w:rPr>
          <w:color w:val="202124"/>
          <w:szCs w:val="21"/>
          <w:shd w:val="clear" w:color="auto" w:fill="FFFFFF"/>
        </w:rPr>
        <w:t>ick-up</w:t>
      </w:r>
    </w:p>
    <w:p w14:paraId="3FE01A28" w14:textId="4DDE565E" w:rsidR="001F0488" w:rsidRPr="001F0488" w:rsidRDefault="001F0488" w:rsidP="001F0488">
      <w:pPr>
        <w:spacing w:after="240"/>
        <w:rPr>
          <w:color w:val="202124"/>
          <w:szCs w:val="21"/>
          <w:shd w:val="clear" w:color="auto" w:fill="FFFFFF"/>
        </w:rPr>
      </w:pPr>
      <w:r>
        <w:rPr>
          <w:color w:val="202124"/>
          <w:szCs w:val="21"/>
          <w:shd w:val="clear" w:color="auto" w:fill="FFFFFF"/>
        </w:rPr>
        <w:t xml:space="preserve">On April 7, 2022, the USDA denied the VDOE-SNP’s request to elect the </w:t>
      </w:r>
      <w:r w:rsidR="00F414E8">
        <w:rPr>
          <w:color w:val="202124"/>
          <w:szCs w:val="21"/>
          <w:shd w:val="clear" w:color="auto" w:fill="FFFFFF"/>
        </w:rPr>
        <w:t>A</w:t>
      </w:r>
      <w:r>
        <w:rPr>
          <w:color w:val="202124"/>
          <w:szCs w:val="21"/>
          <w:shd w:val="clear" w:color="auto" w:fill="FFFFFF"/>
        </w:rPr>
        <w:t xml:space="preserve">rea </w:t>
      </w:r>
      <w:r w:rsidR="00F414E8">
        <w:rPr>
          <w:color w:val="202124"/>
          <w:szCs w:val="21"/>
          <w:shd w:val="clear" w:color="auto" w:fill="FFFFFF"/>
        </w:rPr>
        <w:t>E</w:t>
      </w:r>
      <w:r>
        <w:rPr>
          <w:color w:val="202124"/>
          <w:szCs w:val="21"/>
          <w:shd w:val="clear" w:color="auto" w:fill="FFFFFF"/>
        </w:rPr>
        <w:t xml:space="preserve">ligibility and </w:t>
      </w:r>
      <w:r w:rsidR="00F414E8">
        <w:rPr>
          <w:color w:val="202124"/>
          <w:szCs w:val="21"/>
          <w:shd w:val="clear" w:color="auto" w:fill="FFFFFF"/>
        </w:rPr>
        <w:t>M</w:t>
      </w:r>
      <w:r>
        <w:rPr>
          <w:color w:val="202124"/>
          <w:szCs w:val="21"/>
          <w:shd w:val="clear" w:color="auto" w:fill="FFFFFF"/>
        </w:rPr>
        <w:t xml:space="preserve">eal </w:t>
      </w:r>
      <w:r w:rsidR="00F414E8">
        <w:rPr>
          <w:color w:val="202124"/>
          <w:szCs w:val="21"/>
          <w:shd w:val="clear" w:color="auto" w:fill="FFFFFF"/>
        </w:rPr>
        <w:t>P</w:t>
      </w:r>
      <w:r>
        <w:rPr>
          <w:color w:val="202124"/>
          <w:szCs w:val="21"/>
          <w:shd w:val="clear" w:color="auto" w:fill="FFFFFF"/>
        </w:rPr>
        <w:t xml:space="preserve">attern </w:t>
      </w:r>
      <w:r w:rsidR="00F414E8">
        <w:rPr>
          <w:color w:val="202124"/>
          <w:szCs w:val="21"/>
          <w:shd w:val="clear" w:color="auto" w:fill="FFFFFF"/>
        </w:rPr>
        <w:t>F</w:t>
      </w:r>
      <w:r>
        <w:rPr>
          <w:color w:val="202124"/>
          <w:szCs w:val="21"/>
          <w:shd w:val="clear" w:color="auto" w:fill="FFFFFF"/>
        </w:rPr>
        <w:t xml:space="preserve">lexibility waivers. At this time, the requests for the </w:t>
      </w:r>
      <w:r w:rsidR="00F414E8">
        <w:rPr>
          <w:color w:val="202124"/>
          <w:szCs w:val="21"/>
          <w:shd w:val="clear" w:color="auto" w:fill="FFFFFF"/>
        </w:rPr>
        <w:t>N</w:t>
      </w:r>
      <w:r>
        <w:rPr>
          <w:color w:val="202124"/>
          <w:szCs w:val="21"/>
          <w:shd w:val="clear" w:color="auto" w:fill="FFFFFF"/>
        </w:rPr>
        <w:t xml:space="preserve">on-congregate and </w:t>
      </w:r>
      <w:r w:rsidR="00F414E8">
        <w:rPr>
          <w:color w:val="202124"/>
          <w:szCs w:val="21"/>
          <w:shd w:val="clear" w:color="auto" w:fill="FFFFFF"/>
        </w:rPr>
        <w:t>P</w:t>
      </w:r>
      <w:r>
        <w:rPr>
          <w:color w:val="202124"/>
          <w:szCs w:val="21"/>
          <w:shd w:val="clear" w:color="auto" w:fill="FFFFFF"/>
        </w:rPr>
        <w:t>arent/</w:t>
      </w:r>
      <w:r w:rsidR="00F414E8">
        <w:rPr>
          <w:color w:val="202124"/>
          <w:szCs w:val="21"/>
          <w:shd w:val="clear" w:color="auto" w:fill="FFFFFF"/>
        </w:rPr>
        <w:t>G</w:t>
      </w:r>
      <w:r>
        <w:rPr>
          <w:color w:val="202124"/>
          <w:szCs w:val="21"/>
          <w:shd w:val="clear" w:color="auto" w:fill="FFFFFF"/>
        </w:rPr>
        <w:t xml:space="preserve">uardian </w:t>
      </w:r>
      <w:r w:rsidR="00F414E8">
        <w:rPr>
          <w:color w:val="202124"/>
          <w:szCs w:val="21"/>
          <w:shd w:val="clear" w:color="auto" w:fill="FFFFFF"/>
        </w:rPr>
        <w:t>P</w:t>
      </w:r>
      <w:r>
        <w:rPr>
          <w:color w:val="202124"/>
          <w:szCs w:val="21"/>
          <w:shd w:val="clear" w:color="auto" w:fill="FFFFFF"/>
        </w:rPr>
        <w:t>ick-up waivers are pending. The VDOE-SNP encourages sponsoring organizations to plan for summer operations without the use of these waivers.</w:t>
      </w:r>
    </w:p>
    <w:p w14:paraId="4FAE4676" w14:textId="77777777" w:rsidR="001F0488" w:rsidRDefault="001F0488" w:rsidP="001F0488">
      <w:pPr>
        <w:pStyle w:val="Heading3"/>
        <w:spacing w:after="240"/>
        <w:rPr>
          <w:sz w:val="24"/>
        </w:rPr>
      </w:pPr>
      <w:r>
        <w:rPr>
          <w:sz w:val="24"/>
        </w:rPr>
        <w:t>SNPWeb Enhancements</w:t>
      </w:r>
    </w:p>
    <w:p w14:paraId="141F66AA" w14:textId="65A42704" w:rsidR="00B75D34" w:rsidRDefault="00B7695E" w:rsidP="009F4A4B">
      <w:r>
        <w:t>The VDOE-SNP planned to introduce several upgrades to the SNPWeb SFSP application and claiming system in FY 21</w:t>
      </w:r>
      <w:r w:rsidR="00F414E8">
        <w:t>–</w:t>
      </w:r>
      <w:r>
        <w:t>22. The enhancements included:</w:t>
      </w:r>
    </w:p>
    <w:p w14:paraId="050F0EE4" w14:textId="77777777" w:rsidR="00B7695E" w:rsidRDefault="00B7695E" w:rsidP="00B7695E">
      <w:pPr>
        <w:pStyle w:val="ListParagraph"/>
        <w:numPr>
          <w:ilvl w:val="0"/>
          <w:numId w:val="3"/>
        </w:numPr>
        <w:spacing w:line="276" w:lineRule="auto"/>
      </w:pPr>
      <w:r>
        <w:t xml:space="preserve">a </w:t>
      </w:r>
      <w:r w:rsidRPr="00FD7530">
        <w:rPr>
          <w:b/>
          <w:i/>
        </w:rPr>
        <w:t>calendar function</w:t>
      </w:r>
      <w:r>
        <w:t xml:space="preserve"> in the site applications to automatically calculate the number of operating days for the site and each meal type;</w:t>
      </w:r>
    </w:p>
    <w:p w14:paraId="2DBAFA3A" w14:textId="77777777" w:rsidR="00B7695E" w:rsidRDefault="00B7695E" w:rsidP="00B7695E">
      <w:pPr>
        <w:pStyle w:val="ListParagraph"/>
        <w:numPr>
          <w:ilvl w:val="0"/>
          <w:numId w:val="3"/>
        </w:numPr>
        <w:spacing w:line="276" w:lineRule="auto"/>
      </w:pPr>
      <w:r>
        <w:t xml:space="preserve">a </w:t>
      </w:r>
      <w:r w:rsidRPr="00FD7530">
        <w:rPr>
          <w:b/>
          <w:i/>
        </w:rPr>
        <w:t>mobile meals route function</w:t>
      </w:r>
      <w:r>
        <w:t xml:space="preserve"> to assist in streamlining the site applications for multiple stops on a mobile meals route, and;</w:t>
      </w:r>
    </w:p>
    <w:p w14:paraId="791E3BCA" w14:textId="77777777" w:rsidR="00B7695E" w:rsidRDefault="00B7695E" w:rsidP="00B7695E">
      <w:pPr>
        <w:pStyle w:val="ListParagraph"/>
        <w:numPr>
          <w:ilvl w:val="0"/>
          <w:numId w:val="3"/>
        </w:numPr>
        <w:spacing w:after="240" w:line="276" w:lineRule="auto"/>
      </w:pPr>
      <w:r>
        <w:t xml:space="preserve">a </w:t>
      </w:r>
      <w:r w:rsidRPr="00894E7B">
        <w:rPr>
          <w:b/>
          <w:i/>
        </w:rPr>
        <w:t>mobile meals counter</w:t>
      </w:r>
      <w:r>
        <w:rPr>
          <w:b/>
        </w:rPr>
        <w:t xml:space="preserve"> </w:t>
      </w:r>
      <w:r>
        <w:t>that can be used on a computer, tablet, or phone that replaces the traditional meal count form and connects directly to the application and claiming modules.</w:t>
      </w:r>
    </w:p>
    <w:p w14:paraId="652A7BB9" w14:textId="0ADEF9B1" w:rsidR="009F4A4B" w:rsidRDefault="00B7695E" w:rsidP="009F4A4B">
      <w:r>
        <w:t>Due to delays with the software developer, only the calendar function will be available in the FY 21</w:t>
      </w:r>
      <w:r w:rsidR="00F414E8">
        <w:t>–</w:t>
      </w:r>
      <w:r>
        <w:t>22 module. The mobile meals route and mobile meals counter will be available for FY 22</w:t>
      </w:r>
      <w:r w:rsidR="00F414E8">
        <w:t>–</w:t>
      </w:r>
      <w:r>
        <w:t>23. The VDOE-SNP apologizes for any confusion and extra administrative burden this may cause sponsoring organizations.</w:t>
      </w:r>
    </w:p>
    <w:p w14:paraId="547ECBA7" w14:textId="379067EF" w:rsidR="000751B6" w:rsidRPr="000751B6" w:rsidRDefault="000751B6" w:rsidP="009F4A4B">
      <w:pPr>
        <w:rPr>
          <w:b/>
          <w:i/>
        </w:rPr>
      </w:pPr>
      <w:r w:rsidRPr="000751B6">
        <w:rPr>
          <w:b/>
          <w:i/>
        </w:rPr>
        <w:t>Please note that question 35 in the site applications requests what method the site will use to count meals. Sponsors should select “paper point</w:t>
      </w:r>
      <w:r w:rsidR="00F414E8">
        <w:rPr>
          <w:b/>
          <w:i/>
        </w:rPr>
        <w:t xml:space="preserve"> </w:t>
      </w:r>
      <w:r w:rsidRPr="000751B6">
        <w:rPr>
          <w:b/>
          <w:i/>
        </w:rPr>
        <w:t>of</w:t>
      </w:r>
      <w:r w:rsidR="00F414E8">
        <w:rPr>
          <w:b/>
          <w:i/>
        </w:rPr>
        <w:t xml:space="preserve"> </w:t>
      </w:r>
      <w:r w:rsidRPr="000751B6">
        <w:rPr>
          <w:b/>
          <w:i/>
        </w:rPr>
        <w:t>service meal count sheet” from the dropdown menu.</w:t>
      </w:r>
      <w:r>
        <w:rPr>
          <w:b/>
          <w:i/>
        </w:rPr>
        <w:t xml:space="preserve"> </w:t>
      </w:r>
    </w:p>
    <w:p w14:paraId="3D167820" w14:textId="39F005EE" w:rsidR="00872AEA" w:rsidRDefault="00872AEA" w:rsidP="00872AEA">
      <w:pPr>
        <w:pStyle w:val="Heading3"/>
        <w:spacing w:after="240"/>
        <w:rPr>
          <w:sz w:val="24"/>
        </w:rPr>
      </w:pPr>
      <w:r>
        <w:rPr>
          <w:sz w:val="24"/>
        </w:rPr>
        <w:t>FY 21</w:t>
      </w:r>
      <w:r w:rsidR="00F414E8">
        <w:rPr>
          <w:sz w:val="24"/>
        </w:rPr>
        <w:t>–</w:t>
      </w:r>
      <w:r>
        <w:rPr>
          <w:sz w:val="24"/>
        </w:rPr>
        <w:t>22 Application Open Date</w:t>
      </w:r>
    </w:p>
    <w:p w14:paraId="7394B70F" w14:textId="48204797" w:rsidR="00B7695E" w:rsidRDefault="00872AEA" w:rsidP="009F4A4B">
      <w:r>
        <w:t>As a reminder, the FY 21</w:t>
      </w:r>
      <w:r w:rsidR="00F414E8">
        <w:t>–</w:t>
      </w:r>
      <w:r>
        <w:t>22 application will be available beginning on April 18, 2022.</w:t>
      </w:r>
    </w:p>
    <w:p w14:paraId="67714D6E" w14:textId="19673450" w:rsidR="00211571" w:rsidRPr="00303D10" w:rsidRDefault="00872AEA" w:rsidP="00211571">
      <w:pPr>
        <w:spacing w:after="2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Application</w:t>
      </w:r>
      <w:r w:rsidR="00211571">
        <w:rPr>
          <w:rFonts w:eastAsia="Times New Roman" w:cs="Times New Roman"/>
          <w:szCs w:val="24"/>
        </w:rPr>
        <w:t xml:space="preserve"> packets</w:t>
      </w:r>
      <w:r w:rsidR="00211571" w:rsidRPr="00303D10">
        <w:rPr>
          <w:rFonts w:eastAsia="Times New Roman" w:cs="Times New Roman"/>
          <w:szCs w:val="24"/>
        </w:rPr>
        <w:t xml:space="preserve"> </w:t>
      </w:r>
      <w:r w:rsidR="00211571">
        <w:rPr>
          <w:rFonts w:eastAsia="Times New Roman" w:cs="Times New Roman"/>
          <w:szCs w:val="24"/>
        </w:rPr>
        <w:t>should</w:t>
      </w:r>
      <w:r w:rsidR="00211571" w:rsidRPr="00303D10">
        <w:rPr>
          <w:rFonts w:eastAsia="Times New Roman" w:cs="Times New Roman"/>
          <w:szCs w:val="24"/>
        </w:rPr>
        <w:t xml:space="preserve"> be submitted 30 days prior to program operation; </w:t>
      </w:r>
      <w:r w:rsidR="00990B11" w:rsidRPr="00ED6C8A">
        <w:rPr>
          <w:rFonts w:eastAsia="Times New Roman" w:cs="Times New Roman"/>
          <w:b/>
          <w:bCs/>
          <w:i/>
          <w:iCs/>
          <w:szCs w:val="24"/>
        </w:rPr>
        <w:t>the</w:t>
      </w:r>
      <w:r w:rsidR="00990B11">
        <w:rPr>
          <w:rFonts w:eastAsia="Times New Roman" w:cs="Times New Roman"/>
          <w:szCs w:val="24"/>
        </w:rPr>
        <w:t xml:space="preserve"> </w:t>
      </w:r>
      <w:r w:rsidR="00F414E8">
        <w:rPr>
          <w:rFonts w:eastAsia="Times New Roman" w:cs="Times New Roman"/>
          <w:b/>
          <w:i/>
          <w:szCs w:val="24"/>
        </w:rPr>
        <w:t>VDOE-SNP</w:t>
      </w:r>
      <w:r w:rsidR="00211571" w:rsidRPr="00434B3E">
        <w:rPr>
          <w:rFonts w:eastAsia="Times New Roman" w:cs="Times New Roman"/>
          <w:b/>
          <w:i/>
          <w:szCs w:val="24"/>
        </w:rPr>
        <w:t xml:space="preserve"> cannot retroactively reimburse sponsors for meals served prior to approval.</w:t>
      </w:r>
      <w:r w:rsidR="00211571" w:rsidRPr="00303D10">
        <w:rPr>
          <w:rFonts w:eastAsia="Times New Roman" w:cs="Times New Roman"/>
          <w:szCs w:val="24"/>
        </w:rPr>
        <w:t xml:space="preserve"> The federal deadline to submit</w:t>
      </w:r>
      <w:r w:rsidR="00211571">
        <w:rPr>
          <w:rFonts w:eastAsia="Times New Roman" w:cs="Times New Roman"/>
          <w:szCs w:val="24"/>
        </w:rPr>
        <w:t xml:space="preserve"> an application is June 15, 2022</w:t>
      </w:r>
      <w:r w:rsidR="00211571" w:rsidRPr="00303D10">
        <w:rPr>
          <w:rFonts w:eastAsia="Times New Roman" w:cs="Times New Roman"/>
          <w:szCs w:val="24"/>
        </w:rPr>
        <w:t xml:space="preserve">. </w:t>
      </w:r>
    </w:p>
    <w:p w14:paraId="00B453D3" w14:textId="77777777" w:rsidR="00211571" w:rsidRPr="00303D10" w:rsidRDefault="00211571" w:rsidP="00211571">
      <w:pPr>
        <w:spacing w:before="240" w:after="0"/>
        <w:rPr>
          <w:rFonts w:eastAsia="Times New Roman" w:cs="Times New Roman"/>
          <w:szCs w:val="24"/>
        </w:rPr>
      </w:pPr>
      <w:r w:rsidRPr="00303D10">
        <w:rPr>
          <w:rFonts w:eastAsia="Times New Roman" w:cs="Times New Roman"/>
          <w:szCs w:val="24"/>
        </w:rPr>
        <w:t xml:space="preserve">If submitting requests for advance payments, please adhere to the request submission deadlines below: </w:t>
      </w:r>
    </w:p>
    <w:p w14:paraId="2100777B" w14:textId="77777777" w:rsidR="00211571" w:rsidRPr="00303D10" w:rsidRDefault="00211571" w:rsidP="00211571">
      <w:pPr>
        <w:numPr>
          <w:ilvl w:val="0"/>
          <w:numId w:val="2"/>
        </w:numPr>
        <w:spacing w:before="240" w:after="0"/>
        <w:rPr>
          <w:rFonts w:eastAsia="Times New Roman" w:cs="Times New Roman"/>
          <w:szCs w:val="24"/>
        </w:rPr>
      </w:pPr>
      <w:r w:rsidRPr="00303D10">
        <w:rPr>
          <w:rFonts w:eastAsia="Times New Roman" w:cs="Times New Roman"/>
          <w:szCs w:val="24"/>
        </w:rPr>
        <w:t>May 1 for a June 1 advance</w:t>
      </w:r>
    </w:p>
    <w:p w14:paraId="29F47B82" w14:textId="77777777" w:rsidR="00211571" w:rsidRPr="00303D10" w:rsidRDefault="00211571" w:rsidP="00211571">
      <w:pPr>
        <w:numPr>
          <w:ilvl w:val="0"/>
          <w:numId w:val="2"/>
        </w:num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June 15</w:t>
      </w:r>
      <w:r w:rsidRPr="00303D10">
        <w:rPr>
          <w:rFonts w:eastAsia="Times New Roman" w:cs="Times New Roman"/>
          <w:szCs w:val="24"/>
        </w:rPr>
        <w:t xml:space="preserve"> for a July 15 advance</w:t>
      </w:r>
    </w:p>
    <w:p w14:paraId="2332F6B1" w14:textId="77777777" w:rsidR="00211571" w:rsidRPr="00434B3E" w:rsidRDefault="00211571" w:rsidP="00211571">
      <w:pPr>
        <w:numPr>
          <w:ilvl w:val="0"/>
          <w:numId w:val="2"/>
        </w:numPr>
        <w:spacing w:after="240"/>
        <w:rPr>
          <w:rFonts w:eastAsia="Times New Roman" w:cs="Times New Roman"/>
          <w:szCs w:val="24"/>
        </w:rPr>
      </w:pPr>
      <w:r w:rsidRPr="00303D10">
        <w:rPr>
          <w:rFonts w:eastAsia="Times New Roman" w:cs="Times New Roman"/>
          <w:szCs w:val="24"/>
        </w:rPr>
        <w:t>July 15 for an August 15 advance</w:t>
      </w:r>
    </w:p>
    <w:p w14:paraId="0D789ED0" w14:textId="282BA56A" w:rsidR="00211571" w:rsidRDefault="00211571" w:rsidP="00211571">
      <w:pPr>
        <w:spacing w:before="240" w:after="240"/>
      </w:pPr>
      <w:r>
        <w:t xml:space="preserve">Please note that advances are not available to </w:t>
      </w:r>
      <w:r w:rsidR="00990B11">
        <w:t xml:space="preserve">school food authorities </w:t>
      </w:r>
      <w:r>
        <w:t>without demonstrating financial need.</w:t>
      </w:r>
    </w:p>
    <w:p w14:paraId="54E966FB" w14:textId="700AFBD3" w:rsidR="006339EA" w:rsidRDefault="006339EA" w:rsidP="006339EA">
      <w:pPr>
        <w:spacing w:after="240"/>
      </w:pPr>
      <w:r>
        <w:t xml:space="preserve">If you have any questions, please contact </w:t>
      </w:r>
      <w:r w:rsidRPr="006339EA">
        <w:rPr>
          <w:rFonts w:cs="Times New Roman"/>
        </w:rPr>
        <w:t xml:space="preserve">your assigned SNP </w:t>
      </w:r>
      <w:r w:rsidRPr="006339EA">
        <w:rPr>
          <w:rFonts w:cs="Times New Roman"/>
          <w:color w:val="222222"/>
          <w:shd w:val="clear" w:color="auto" w:fill="FFFFFF"/>
        </w:rPr>
        <w:t xml:space="preserve">regional specialist for school sponsors </w:t>
      </w:r>
      <w:r w:rsidRPr="006339EA">
        <w:rPr>
          <w:rFonts w:cs="Times New Roman"/>
        </w:rPr>
        <w:t>or CNP regional specialist f</w:t>
      </w:r>
      <w:r w:rsidRPr="006339EA">
        <w:rPr>
          <w:rFonts w:cs="Times New Roman"/>
          <w:color w:val="222222"/>
          <w:shd w:val="clear" w:color="auto" w:fill="FFFFFF"/>
        </w:rPr>
        <w:t>or community sponsors</w:t>
      </w:r>
      <w:r w:rsidR="002D6F0D">
        <w:rPr>
          <w:rFonts w:cs="Times New Roman"/>
          <w:color w:val="222222"/>
          <w:shd w:val="clear" w:color="auto" w:fill="FFFFFF"/>
        </w:rPr>
        <w:t>.</w:t>
      </w:r>
    </w:p>
    <w:p w14:paraId="2808829F" w14:textId="50E4A562" w:rsidR="008C4A46" w:rsidRPr="006339EA" w:rsidRDefault="004829E4" w:rsidP="006339EA">
      <w:pPr>
        <w:spacing w:after="240"/>
      </w:pPr>
      <w:r>
        <w:rPr>
          <w:color w:val="000000"/>
          <w:szCs w:val="24"/>
        </w:rPr>
        <w:t>SCC/</w:t>
      </w:r>
      <w:r w:rsidR="0034014A">
        <w:rPr>
          <w:color w:val="000000"/>
          <w:szCs w:val="24"/>
        </w:rPr>
        <w:t>MVP</w:t>
      </w:r>
      <w:r w:rsidR="0025139A">
        <w:rPr>
          <w:color w:val="000000"/>
          <w:szCs w:val="24"/>
        </w:rPr>
        <w:t>/rd</w:t>
      </w:r>
    </w:p>
    <w:sectPr w:rsidR="008C4A46" w:rsidRPr="00633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5C2C4" w14:textId="77777777" w:rsidR="000E42E1" w:rsidRDefault="000E42E1" w:rsidP="00B25322">
      <w:pPr>
        <w:spacing w:after="0" w:line="240" w:lineRule="auto"/>
      </w:pPr>
      <w:r>
        <w:separator/>
      </w:r>
    </w:p>
  </w:endnote>
  <w:endnote w:type="continuationSeparator" w:id="0">
    <w:p w14:paraId="73A9E141" w14:textId="77777777" w:rsidR="000E42E1" w:rsidRDefault="000E42E1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D8FAE" w14:textId="77777777" w:rsidR="000E42E1" w:rsidRDefault="000E42E1" w:rsidP="00B25322">
      <w:pPr>
        <w:spacing w:after="0" w:line="240" w:lineRule="auto"/>
      </w:pPr>
      <w:r>
        <w:separator/>
      </w:r>
    </w:p>
  </w:footnote>
  <w:footnote w:type="continuationSeparator" w:id="0">
    <w:p w14:paraId="18C231BD" w14:textId="77777777" w:rsidR="000E42E1" w:rsidRDefault="000E42E1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521DF"/>
    <w:multiLevelType w:val="hybridMultilevel"/>
    <w:tmpl w:val="25603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57263"/>
    <w:multiLevelType w:val="hybridMultilevel"/>
    <w:tmpl w:val="2C4C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A51D1"/>
    <w:multiLevelType w:val="hybridMultilevel"/>
    <w:tmpl w:val="0B7C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D3699"/>
    <w:multiLevelType w:val="hybridMultilevel"/>
    <w:tmpl w:val="9CF6F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00FAC"/>
    <w:rsid w:val="00003DBF"/>
    <w:rsid w:val="000158CE"/>
    <w:rsid w:val="000375B8"/>
    <w:rsid w:val="0004709D"/>
    <w:rsid w:val="00062952"/>
    <w:rsid w:val="000751B6"/>
    <w:rsid w:val="000E2D83"/>
    <w:rsid w:val="000E42E1"/>
    <w:rsid w:val="000F6B21"/>
    <w:rsid w:val="00150826"/>
    <w:rsid w:val="00167950"/>
    <w:rsid w:val="001C04D6"/>
    <w:rsid w:val="001F0488"/>
    <w:rsid w:val="00202E9F"/>
    <w:rsid w:val="00211571"/>
    <w:rsid w:val="00216770"/>
    <w:rsid w:val="00223595"/>
    <w:rsid w:val="00227B1E"/>
    <w:rsid w:val="00242AB6"/>
    <w:rsid w:val="0025139A"/>
    <w:rsid w:val="0026610F"/>
    <w:rsid w:val="0027145D"/>
    <w:rsid w:val="002A6350"/>
    <w:rsid w:val="002D6F0D"/>
    <w:rsid w:val="002F2DAF"/>
    <w:rsid w:val="0030295D"/>
    <w:rsid w:val="0031177E"/>
    <w:rsid w:val="003238EA"/>
    <w:rsid w:val="00326E33"/>
    <w:rsid w:val="0034014A"/>
    <w:rsid w:val="003514C0"/>
    <w:rsid w:val="003C6A5C"/>
    <w:rsid w:val="003D79AA"/>
    <w:rsid w:val="003E1973"/>
    <w:rsid w:val="00406FF4"/>
    <w:rsid w:val="00470F16"/>
    <w:rsid w:val="00480879"/>
    <w:rsid w:val="004829E4"/>
    <w:rsid w:val="004F6547"/>
    <w:rsid w:val="00501AFB"/>
    <w:rsid w:val="005034A2"/>
    <w:rsid w:val="00544584"/>
    <w:rsid w:val="005455E9"/>
    <w:rsid w:val="005A2C9A"/>
    <w:rsid w:val="005D306B"/>
    <w:rsid w:val="005D7866"/>
    <w:rsid w:val="005E06EF"/>
    <w:rsid w:val="005E7FF8"/>
    <w:rsid w:val="005F1A5B"/>
    <w:rsid w:val="00622089"/>
    <w:rsid w:val="00625A9B"/>
    <w:rsid w:val="006339EA"/>
    <w:rsid w:val="006468CF"/>
    <w:rsid w:val="00653DCC"/>
    <w:rsid w:val="006626C2"/>
    <w:rsid w:val="00684D96"/>
    <w:rsid w:val="00686988"/>
    <w:rsid w:val="006A2882"/>
    <w:rsid w:val="0073236D"/>
    <w:rsid w:val="00793593"/>
    <w:rsid w:val="007963A3"/>
    <w:rsid w:val="007A73B4"/>
    <w:rsid w:val="007C0B3F"/>
    <w:rsid w:val="007C3E67"/>
    <w:rsid w:val="00804E60"/>
    <w:rsid w:val="00835F28"/>
    <w:rsid w:val="00846B0C"/>
    <w:rsid w:val="00851C0B"/>
    <w:rsid w:val="008631A7"/>
    <w:rsid w:val="00872AEA"/>
    <w:rsid w:val="00894E7B"/>
    <w:rsid w:val="008A3551"/>
    <w:rsid w:val="008B0EA1"/>
    <w:rsid w:val="008C4A46"/>
    <w:rsid w:val="009325F7"/>
    <w:rsid w:val="00976D3B"/>
    <w:rsid w:val="00977AFA"/>
    <w:rsid w:val="00990B11"/>
    <w:rsid w:val="009B51FA"/>
    <w:rsid w:val="009C7253"/>
    <w:rsid w:val="009F4A4B"/>
    <w:rsid w:val="00A126A5"/>
    <w:rsid w:val="00A26586"/>
    <w:rsid w:val="00A30BC9"/>
    <w:rsid w:val="00A3144F"/>
    <w:rsid w:val="00A65EE6"/>
    <w:rsid w:val="00A67B2F"/>
    <w:rsid w:val="00AB0776"/>
    <w:rsid w:val="00AD228F"/>
    <w:rsid w:val="00AE32A0"/>
    <w:rsid w:val="00AE60BD"/>
    <w:rsid w:val="00AE65FD"/>
    <w:rsid w:val="00B01E92"/>
    <w:rsid w:val="00B25322"/>
    <w:rsid w:val="00B75D34"/>
    <w:rsid w:val="00B7695E"/>
    <w:rsid w:val="00B83092"/>
    <w:rsid w:val="00B8595E"/>
    <w:rsid w:val="00B92771"/>
    <w:rsid w:val="00BC1A9C"/>
    <w:rsid w:val="00BD2572"/>
    <w:rsid w:val="00BE00E6"/>
    <w:rsid w:val="00BE3E67"/>
    <w:rsid w:val="00C07DFE"/>
    <w:rsid w:val="00C23584"/>
    <w:rsid w:val="00C24D60"/>
    <w:rsid w:val="00C25FA1"/>
    <w:rsid w:val="00CA70A4"/>
    <w:rsid w:val="00CF0233"/>
    <w:rsid w:val="00D267FA"/>
    <w:rsid w:val="00D272E0"/>
    <w:rsid w:val="00D376E6"/>
    <w:rsid w:val="00D42CDE"/>
    <w:rsid w:val="00D534B4"/>
    <w:rsid w:val="00D55B56"/>
    <w:rsid w:val="00D811FD"/>
    <w:rsid w:val="00DA14B1"/>
    <w:rsid w:val="00DA5303"/>
    <w:rsid w:val="00DD20B7"/>
    <w:rsid w:val="00DD368F"/>
    <w:rsid w:val="00DD528A"/>
    <w:rsid w:val="00DE36A1"/>
    <w:rsid w:val="00DF5211"/>
    <w:rsid w:val="00E12E2F"/>
    <w:rsid w:val="00E4085F"/>
    <w:rsid w:val="00E75FCE"/>
    <w:rsid w:val="00E760E6"/>
    <w:rsid w:val="00E801BC"/>
    <w:rsid w:val="00EC1E93"/>
    <w:rsid w:val="00ED6C8A"/>
    <w:rsid w:val="00ED79E7"/>
    <w:rsid w:val="00F414E8"/>
    <w:rsid w:val="00F41943"/>
    <w:rsid w:val="00F81813"/>
    <w:rsid w:val="00F85B9C"/>
    <w:rsid w:val="00FA4F24"/>
    <w:rsid w:val="00FA6F62"/>
    <w:rsid w:val="00FD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55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table" w:styleId="TableGrid">
    <w:name w:val="Table Grid"/>
    <w:basedOn w:val="TableNormal"/>
    <w:uiPriority w:val="59"/>
    <w:rsid w:val="005E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D7866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D52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doe.virginia.gov/support/nutrition/statistics/index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DC5B2-5644-4456-BB7A-ED49F2F7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2021-2022-34, Important Information for Fiscal Year 2021-2022 Summer Food Service Program</vt:lpstr>
    </vt:vector>
  </TitlesOfParts>
  <Manager/>
  <Company/>
  <LinksUpToDate>false</LinksUpToDate>
  <CharactersWithSpaces>4336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No. 2021-2022-34, Important Information for Fiscal Year 2021-2022 Summer Food Service Program</dc:title>
  <dc:subject/>
  <dc:creator/>
  <cp:keywords/>
  <dc:description/>
  <cp:lastModifiedBy/>
  <cp:revision>1</cp:revision>
  <dcterms:created xsi:type="dcterms:W3CDTF">2022-04-14T13:58:00Z</dcterms:created>
  <dcterms:modified xsi:type="dcterms:W3CDTF">2022-04-14T13:58:00Z</dcterms:modified>
  <cp:category/>
</cp:coreProperties>
</file>