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B221CB">
        <w:t>2021-2022</w:t>
      </w:r>
      <w:r w:rsidR="000375B8">
        <w:t>-</w:t>
      </w:r>
      <w:r w:rsidR="005A5128">
        <w:t>21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BB38FE">
        <w:t xml:space="preserve">January </w:t>
      </w:r>
      <w:r w:rsidR="00641205">
        <w:t>1</w:t>
      </w:r>
      <w:r w:rsidR="00BB38FE">
        <w:t>4, 2022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B38FE">
        <w:rPr>
          <w:sz w:val="32"/>
        </w:rPr>
        <w:t xml:space="preserve">Child and Adult Care Food Program </w:t>
      </w:r>
      <w:r w:rsidR="00B221CB">
        <w:rPr>
          <w:sz w:val="32"/>
        </w:rPr>
        <w:t xml:space="preserve">Flexibilities </w:t>
      </w:r>
      <w:r w:rsidR="00FA0906">
        <w:rPr>
          <w:sz w:val="32"/>
        </w:rPr>
        <w:t>d</w:t>
      </w:r>
      <w:r w:rsidR="00B221CB">
        <w:rPr>
          <w:sz w:val="32"/>
        </w:rPr>
        <w:t xml:space="preserve">uring COVID-19 Supply Chain Disruptions </w:t>
      </w:r>
    </w:p>
    <w:p w:rsidR="002A3CA5" w:rsidRDefault="00B221CB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</w:t>
      </w:r>
      <w:r w:rsidR="00E16A6C">
        <w:rPr>
          <w:color w:val="000000"/>
          <w:szCs w:val="24"/>
        </w:rPr>
        <w:t xml:space="preserve">is </w:t>
      </w:r>
      <w:r>
        <w:rPr>
          <w:color w:val="000000"/>
          <w:szCs w:val="24"/>
        </w:rPr>
        <w:t>to alert Child and Adult Car</w:t>
      </w:r>
      <w:r w:rsidR="00527DC1">
        <w:rPr>
          <w:color w:val="000000"/>
          <w:szCs w:val="24"/>
        </w:rPr>
        <w:t>e Food Program (CACFP) sponsors</w:t>
      </w:r>
      <w:r>
        <w:rPr>
          <w:color w:val="000000"/>
          <w:szCs w:val="24"/>
        </w:rPr>
        <w:t xml:space="preserve"> of </w:t>
      </w:r>
      <w:r w:rsidR="002A3CA5">
        <w:rPr>
          <w:color w:val="000000"/>
          <w:szCs w:val="24"/>
        </w:rPr>
        <w:t xml:space="preserve">the U.S. Department of Agriculture (USDA) policy memo CACFP 02-2022, </w:t>
      </w:r>
      <w:r w:rsidR="002A3CA5" w:rsidRPr="00641205">
        <w:rPr>
          <w:i/>
          <w:color w:val="000000"/>
          <w:szCs w:val="24"/>
        </w:rPr>
        <w:t>Child and Adult Care Food Program (CACFP) Flexibilities During Supply Chain Disruptions</w:t>
      </w:r>
      <w:r w:rsidR="002A3CA5">
        <w:rPr>
          <w:color w:val="000000"/>
          <w:szCs w:val="24"/>
        </w:rPr>
        <w:t xml:space="preserve">. The memo highlights </w:t>
      </w:r>
      <w:r>
        <w:rPr>
          <w:color w:val="000000"/>
          <w:szCs w:val="24"/>
        </w:rPr>
        <w:t xml:space="preserve">flexibilities </w:t>
      </w:r>
      <w:r w:rsidR="002A3CA5">
        <w:rPr>
          <w:color w:val="000000"/>
          <w:szCs w:val="24"/>
        </w:rPr>
        <w:t xml:space="preserve">that may be utilized in cases of severe food shortages due to supply chain challenges. The memo may be accessed online via the link below: </w:t>
      </w:r>
    </w:p>
    <w:p w:rsidR="002A3CA5" w:rsidRPr="002A3CA5" w:rsidRDefault="00C657C9" w:rsidP="002A3CA5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hyperlink r:id="rId10" w:history="1">
        <w:r w:rsidR="002A3CA5" w:rsidRPr="00E60B72">
          <w:rPr>
            <w:rStyle w:val="Hyperlink"/>
            <w:szCs w:val="24"/>
          </w:rPr>
          <w:t xml:space="preserve">CACFP 02-2022, </w:t>
        </w:r>
        <w:r w:rsidR="002A3CA5" w:rsidRPr="00E60B72">
          <w:rPr>
            <w:rStyle w:val="Hyperlink"/>
            <w:i/>
            <w:szCs w:val="24"/>
          </w:rPr>
          <w:t>Child and Adult Care Food Program (CACFP) Flexibilities During Supply Chain Disruptions</w:t>
        </w:r>
      </w:hyperlink>
    </w:p>
    <w:p w:rsidR="002A3CA5" w:rsidRPr="002A3CA5" w:rsidRDefault="002A3CA5" w:rsidP="002A3CA5">
      <w:pPr>
        <w:pStyle w:val="ListParagraph"/>
        <w:numPr>
          <w:ilvl w:val="0"/>
          <w:numId w:val="0"/>
        </w:numPr>
        <w:ind w:left="720"/>
        <w:rPr>
          <w:color w:val="000000"/>
          <w:szCs w:val="24"/>
        </w:rPr>
      </w:pPr>
    </w:p>
    <w:p w:rsidR="00544584" w:rsidRDefault="00641205" w:rsidP="00167950">
      <w:pPr>
        <w:rPr>
          <w:color w:val="000000"/>
          <w:szCs w:val="24"/>
        </w:rPr>
      </w:pPr>
      <w:r>
        <w:rPr>
          <w:color w:val="000000"/>
          <w:szCs w:val="24"/>
        </w:rPr>
        <w:t>State agenc</w:t>
      </w:r>
      <w:r w:rsidR="00527DC1">
        <w:rPr>
          <w:color w:val="000000"/>
          <w:szCs w:val="24"/>
        </w:rPr>
        <w:t>ies and sponsors</w:t>
      </w:r>
      <w:r>
        <w:rPr>
          <w:color w:val="000000"/>
          <w:szCs w:val="24"/>
        </w:rPr>
        <w:t xml:space="preserve"> are encouraged to prioritize technical assistance and training </w:t>
      </w:r>
      <w:r w:rsidR="00527DC1">
        <w:rPr>
          <w:color w:val="000000"/>
          <w:szCs w:val="24"/>
        </w:rPr>
        <w:t xml:space="preserve">for findings related to meal pattern compliance </w:t>
      </w:r>
      <w:r>
        <w:rPr>
          <w:color w:val="000000"/>
          <w:szCs w:val="24"/>
        </w:rPr>
        <w:t>over punitive actions like disallowin</w:t>
      </w:r>
      <w:r w:rsidR="00527DC1">
        <w:rPr>
          <w:color w:val="000000"/>
          <w:szCs w:val="24"/>
        </w:rPr>
        <w:t>g meals or determining</w:t>
      </w:r>
      <w:r>
        <w:rPr>
          <w:color w:val="000000"/>
          <w:szCs w:val="24"/>
        </w:rPr>
        <w:t xml:space="preserve"> a facility or sponsor </w:t>
      </w:r>
      <w:r w:rsidR="00527DC1">
        <w:rPr>
          <w:color w:val="000000"/>
          <w:szCs w:val="24"/>
        </w:rPr>
        <w:t>seriously deficient</w:t>
      </w:r>
      <w:r>
        <w:rPr>
          <w:color w:val="000000"/>
          <w:szCs w:val="24"/>
        </w:rPr>
        <w:t xml:space="preserve">. </w:t>
      </w:r>
    </w:p>
    <w:p w:rsidR="00641205" w:rsidRDefault="00FA6270" w:rsidP="00167950">
      <w:pPr>
        <w:rPr>
          <w:color w:val="000000"/>
          <w:szCs w:val="24"/>
        </w:rPr>
      </w:pPr>
      <w:r>
        <w:rPr>
          <w:color w:val="000000"/>
          <w:szCs w:val="24"/>
        </w:rPr>
        <w:t>Supply chain disruptions across the country are causing delays in shipments, order cancelations, and cost increases. The USDA strongly encourages child nutrition program</w:t>
      </w:r>
      <w:r w:rsidR="002A3CA5">
        <w:rPr>
          <w:color w:val="000000"/>
          <w:szCs w:val="24"/>
        </w:rPr>
        <w:t>s to adhere to the meal patterns</w:t>
      </w:r>
      <w:r>
        <w:rPr>
          <w:color w:val="000000"/>
          <w:szCs w:val="24"/>
        </w:rPr>
        <w:t xml:space="preserve"> and provide high quality, nutritious meals and snacks</w:t>
      </w:r>
      <w:r w:rsidR="00527DC1">
        <w:rPr>
          <w:color w:val="000000"/>
          <w:szCs w:val="24"/>
        </w:rPr>
        <w:t xml:space="preserve"> when possible</w:t>
      </w:r>
      <w:r>
        <w:rPr>
          <w:color w:val="000000"/>
          <w:szCs w:val="24"/>
        </w:rPr>
        <w:t>, while also recognizing the challenges in doing so. CACFP sponsors may utilize emerge</w:t>
      </w:r>
      <w:r w:rsidR="00C02E04">
        <w:rPr>
          <w:color w:val="000000"/>
          <w:szCs w:val="24"/>
        </w:rPr>
        <w:t>ncy procurement flexibilities as</w:t>
      </w:r>
      <w:r>
        <w:rPr>
          <w:color w:val="000000"/>
          <w:szCs w:val="24"/>
        </w:rPr>
        <w:t xml:space="preserve"> </w:t>
      </w:r>
      <w:r w:rsidR="00527DC1">
        <w:rPr>
          <w:color w:val="000000"/>
          <w:szCs w:val="24"/>
        </w:rPr>
        <w:t xml:space="preserve">described in </w:t>
      </w:r>
      <w:r>
        <w:rPr>
          <w:color w:val="000000"/>
          <w:szCs w:val="24"/>
        </w:rPr>
        <w:t xml:space="preserve">2 CFR 200.320, which allows noncompetitive procurement methods in instances of public emergency or exigency. </w:t>
      </w:r>
      <w:r w:rsidR="00FF6931">
        <w:rPr>
          <w:color w:val="000000"/>
          <w:szCs w:val="24"/>
        </w:rPr>
        <w:t>Sufficient supporting</w:t>
      </w:r>
      <w:r w:rsidR="00527DC1">
        <w:rPr>
          <w:color w:val="000000"/>
          <w:szCs w:val="24"/>
        </w:rPr>
        <w:t xml:space="preserve"> documentation must be maintained</w:t>
      </w:r>
      <w:r w:rsidR="00FF6931">
        <w:rPr>
          <w:color w:val="000000"/>
          <w:szCs w:val="24"/>
        </w:rPr>
        <w:t xml:space="preserve"> to </w:t>
      </w:r>
      <w:r w:rsidR="00331284">
        <w:rPr>
          <w:color w:val="000000"/>
          <w:szCs w:val="24"/>
        </w:rPr>
        <w:t xml:space="preserve">document the rationale behind the method of procurement, selection of contract type, contractor selection or rejection, and the basis for the contract price. </w:t>
      </w:r>
    </w:p>
    <w:p w:rsidR="00720601" w:rsidRDefault="00720601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In emergency circumstances, </w:t>
      </w:r>
      <w:r w:rsidR="00527DC1">
        <w:rPr>
          <w:color w:val="000000"/>
          <w:szCs w:val="24"/>
        </w:rPr>
        <w:t xml:space="preserve">CACFP </w:t>
      </w:r>
      <w:r>
        <w:rPr>
          <w:color w:val="000000"/>
          <w:szCs w:val="24"/>
        </w:rPr>
        <w:t>regulations at 7 CFR 226.20(e)</w:t>
      </w:r>
      <w:r w:rsidR="00527DC1">
        <w:rPr>
          <w:color w:val="000000"/>
          <w:szCs w:val="24"/>
        </w:rPr>
        <w:t xml:space="preserve"> allow sponsors </w:t>
      </w:r>
      <w:r>
        <w:rPr>
          <w:color w:val="000000"/>
          <w:szCs w:val="24"/>
        </w:rPr>
        <w:t>to, with state agency approval, serve meals without milk for a temporary period or to serve meals without milk for an ongoing basis if an equivalent of canned, whole dry</w:t>
      </w:r>
      <w:r w:rsidR="00FA090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or fat-free dry milk is use</w:t>
      </w:r>
      <w:r w:rsidR="00527DC1">
        <w:rPr>
          <w:color w:val="000000"/>
          <w:szCs w:val="24"/>
        </w:rPr>
        <w:t xml:space="preserve">d to prepare components for </w:t>
      </w:r>
      <w:r>
        <w:rPr>
          <w:color w:val="000000"/>
          <w:szCs w:val="24"/>
        </w:rPr>
        <w:t>meal</w:t>
      </w:r>
      <w:r w:rsidR="00527DC1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. </w:t>
      </w:r>
      <w:r w:rsidR="00527DC1">
        <w:rPr>
          <w:color w:val="000000"/>
          <w:szCs w:val="24"/>
        </w:rPr>
        <w:t>Sponsors</w:t>
      </w:r>
      <w:r>
        <w:rPr>
          <w:color w:val="000000"/>
          <w:szCs w:val="24"/>
        </w:rPr>
        <w:t xml:space="preserve"> faced with ongoing challenges in meeting the CACFP </w:t>
      </w:r>
      <w:r>
        <w:rPr>
          <w:color w:val="000000"/>
          <w:szCs w:val="24"/>
        </w:rPr>
        <w:lastRenderedPageBreak/>
        <w:t>meal pattern</w:t>
      </w:r>
      <w:r w:rsidR="00704CBF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may apply for a </w:t>
      </w:r>
      <w:r w:rsidR="00704CBF">
        <w:rPr>
          <w:color w:val="000000"/>
          <w:szCs w:val="24"/>
        </w:rPr>
        <w:t xml:space="preserve">specific </w:t>
      </w:r>
      <w:r>
        <w:rPr>
          <w:color w:val="000000"/>
          <w:szCs w:val="24"/>
        </w:rPr>
        <w:t xml:space="preserve">meal pattern waiver </w:t>
      </w:r>
      <w:r w:rsidR="00704CBF">
        <w:rPr>
          <w:color w:val="000000"/>
          <w:szCs w:val="24"/>
        </w:rPr>
        <w:t xml:space="preserve">in their SNPWeb application as authorized in the </w:t>
      </w:r>
      <w:hyperlink r:id="rId11" w:history="1">
        <w:r w:rsidR="00704CBF" w:rsidRPr="00704CBF">
          <w:rPr>
            <w:rStyle w:val="Hyperlink"/>
            <w:szCs w:val="24"/>
          </w:rPr>
          <w:t>Nationwide Waiver to Allow Specific Meal Pattern Flexibility in the Child and Adult Care Food Program for School Year 2021-2022</w:t>
        </w:r>
      </w:hyperlink>
      <w:r w:rsidR="00704CBF">
        <w:rPr>
          <w:color w:val="000000"/>
          <w:szCs w:val="24"/>
        </w:rPr>
        <w:t xml:space="preserve">. </w:t>
      </w:r>
      <w:r w:rsidR="00527DC1">
        <w:rPr>
          <w:color w:val="000000"/>
          <w:szCs w:val="24"/>
        </w:rPr>
        <w:t>Available</w:t>
      </w:r>
      <w:r w:rsidR="00704CBF">
        <w:rPr>
          <w:color w:val="000000"/>
          <w:szCs w:val="24"/>
        </w:rPr>
        <w:t xml:space="preserve"> meal pattern flexibilities include </w:t>
      </w:r>
      <w:r w:rsidR="00B830CB">
        <w:rPr>
          <w:color w:val="000000"/>
          <w:szCs w:val="24"/>
        </w:rPr>
        <w:t>the whole</w:t>
      </w:r>
      <w:r w:rsidR="00DB0D7F">
        <w:rPr>
          <w:color w:val="000000"/>
          <w:szCs w:val="24"/>
        </w:rPr>
        <w:t xml:space="preserve"> </w:t>
      </w:r>
      <w:r w:rsidR="00B830CB">
        <w:rPr>
          <w:color w:val="000000"/>
          <w:szCs w:val="24"/>
        </w:rPr>
        <w:t>grain</w:t>
      </w:r>
      <w:r w:rsidR="00DB0D7F">
        <w:rPr>
          <w:color w:val="000000"/>
          <w:szCs w:val="24"/>
        </w:rPr>
        <w:t>-</w:t>
      </w:r>
      <w:r w:rsidR="00B830CB">
        <w:rPr>
          <w:color w:val="000000"/>
          <w:szCs w:val="24"/>
        </w:rPr>
        <w:t xml:space="preserve">rich requirement, the crediting of grains by ounce equivalents, and the requirement that low-fat milk must be unflavored. </w:t>
      </w:r>
      <w:r w:rsidR="00704CBF">
        <w:rPr>
          <w:color w:val="000000"/>
          <w:szCs w:val="24"/>
        </w:rPr>
        <w:t>Justification is required and meal pattern waivers</w:t>
      </w:r>
      <w:r w:rsidR="000E6E3A">
        <w:rPr>
          <w:color w:val="000000"/>
          <w:szCs w:val="24"/>
        </w:rPr>
        <w:t>, if granted, are intended to be</w:t>
      </w:r>
      <w:r w:rsidR="00704CBF">
        <w:rPr>
          <w:color w:val="000000"/>
          <w:szCs w:val="24"/>
        </w:rPr>
        <w:t xml:space="preserve"> tempo</w:t>
      </w:r>
      <w:r w:rsidR="000E6E3A">
        <w:rPr>
          <w:color w:val="000000"/>
          <w:szCs w:val="24"/>
        </w:rPr>
        <w:t>rary until the item</w:t>
      </w:r>
      <w:r w:rsidR="00527DC1">
        <w:rPr>
          <w:color w:val="000000"/>
          <w:szCs w:val="24"/>
        </w:rPr>
        <w:t>(s)</w:t>
      </w:r>
      <w:r w:rsidR="000E6E3A">
        <w:rPr>
          <w:color w:val="000000"/>
          <w:szCs w:val="24"/>
        </w:rPr>
        <w:t xml:space="preserve"> becomes available. </w:t>
      </w:r>
    </w:p>
    <w:p w:rsidR="000E6E3A" w:rsidRDefault="000E6E3A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</w:t>
      </w:r>
      <w:r w:rsidR="00527DC1">
        <w:rPr>
          <w:color w:val="000000"/>
          <w:szCs w:val="24"/>
        </w:rPr>
        <w:t xml:space="preserve">sponsors or </w:t>
      </w:r>
      <w:r>
        <w:rPr>
          <w:color w:val="000000"/>
          <w:szCs w:val="24"/>
        </w:rPr>
        <w:t xml:space="preserve">sponsored centers </w:t>
      </w:r>
      <w:r w:rsidR="00737573">
        <w:rPr>
          <w:color w:val="000000"/>
          <w:szCs w:val="24"/>
        </w:rPr>
        <w:t xml:space="preserve">prepare their own meals and </w:t>
      </w:r>
      <w:r>
        <w:rPr>
          <w:color w:val="000000"/>
          <w:szCs w:val="24"/>
        </w:rPr>
        <w:t xml:space="preserve">are unable to meet meal pattern requirements, 7 CFR 226.14(b) </w:t>
      </w:r>
      <w:r w:rsidR="00C362FD">
        <w:rPr>
          <w:color w:val="000000"/>
          <w:szCs w:val="24"/>
        </w:rPr>
        <w:t>allow</w:t>
      </w:r>
      <w:r w:rsidR="00527DC1">
        <w:rPr>
          <w:color w:val="000000"/>
          <w:szCs w:val="24"/>
        </w:rPr>
        <w:t>s</w:t>
      </w:r>
      <w:r w:rsidR="00C362FD">
        <w:rPr>
          <w:color w:val="000000"/>
          <w:szCs w:val="24"/>
        </w:rPr>
        <w:t xml:space="preserve"> the Virginia Department of Education, Office of School Nutrition Programs (VDOE-SNP) </w:t>
      </w:r>
      <w:r w:rsidR="00356199">
        <w:rPr>
          <w:color w:val="000000"/>
          <w:szCs w:val="24"/>
        </w:rPr>
        <w:t xml:space="preserve">and sponsoring organizations to provide flexibility </w:t>
      </w:r>
      <w:r w:rsidR="00737573">
        <w:rPr>
          <w:color w:val="000000"/>
          <w:szCs w:val="24"/>
        </w:rPr>
        <w:t>in taking fiscal action for noncompliance</w:t>
      </w:r>
      <w:r w:rsidR="00527DC1">
        <w:rPr>
          <w:color w:val="000000"/>
          <w:szCs w:val="24"/>
        </w:rPr>
        <w:t xml:space="preserve"> identified in monitoring visits</w:t>
      </w:r>
      <w:r w:rsidR="00737573">
        <w:rPr>
          <w:color w:val="000000"/>
          <w:szCs w:val="24"/>
        </w:rPr>
        <w:t xml:space="preserve">. In lieu of disallowing payments or collecting overpayment, </w:t>
      </w:r>
      <w:r w:rsidR="00DB0D7F">
        <w:rPr>
          <w:color w:val="000000"/>
          <w:szCs w:val="24"/>
        </w:rPr>
        <w:t xml:space="preserve">the </w:t>
      </w:r>
      <w:r w:rsidR="00737573">
        <w:rPr>
          <w:color w:val="000000"/>
          <w:szCs w:val="24"/>
        </w:rPr>
        <w:t xml:space="preserve">VDOE-SNP and sponsoring organizations may instead provide technical assistance, training, and require corrective action. </w:t>
      </w:r>
    </w:p>
    <w:p w:rsidR="00737573" w:rsidRDefault="00B452CC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USDA released </w:t>
      </w:r>
      <w:r w:rsidR="00AC4ABD">
        <w:rPr>
          <w:color w:val="000000"/>
          <w:szCs w:val="24"/>
        </w:rPr>
        <w:t xml:space="preserve">a fact sheet for </w:t>
      </w:r>
      <w:r w:rsidR="00527DC1">
        <w:rPr>
          <w:color w:val="000000"/>
          <w:szCs w:val="24"/>
        </w:rPr>
        <w:t>sponsors</w:t>
      </w:r>
      <w:r w:rsidR="00AC4ABD">
        <w:rPr>
          <w:color w:val="000000"/>
          <w:szCs w:val="24"/>
        </w:rPr>
        <w:t xml:space="preserve"> related to supply chain challenges, </w:t>
      </w:r>
      <w:r w:rsidR="00DB0D7F">
        <w:rPr>
          <w:color w:val="000000"/>
          <w:szCs w:val="24"/>
        </w:rPr>
        <w:t xml:space="preserve">which is </w:t>
      </w:r>
      <w:r w:rsidR="00AC4ABD">
        <w:rPr>
          <w:color w:val="000000"/>
          <w:szCs w:val="24"/>
        </w:rPr>
        <w:t xml:space="preserve">attached to </w:t>
      </w:r>
      <w:r w:rsidR="00DB0D7F">
        <w:rPr>
          <w:color w:val="000000"/>
          <w:szCs w:val="24"/>
        </w:rPr>
        <w:t>the email containing this memo</w:t>
      </w:r>
      <w:r w:rsidR="00AC4ABD">
        <w:rPr>
          <w:color w:val="000000"/>
          <w:szCs w:val="24"/>
        </w:rPr>
        <w:t xml:space="preserve">. CACFP sponsors may also refer to </w:t>
      </w:r>
      <w:hyperlink r:id="rId12" w:history="1">
        <w:r w:rsidR="00AC4ABD" w:rsidRPr="00527DC1">
          <w:rPr>
            <w:rStyle w:val="Hyperlink"/>
            <w:szCs w:val="24"/>
          </w:rPr>
          <w:t>SNP Memo No. 2021-2022-16, Questions and Answers for Child Nutrition Program Emergency Procurement Due to Supply Chain Disruptions</w:t>
        </w:r>
      </w:hyperlink>
      <w:r w:rsidR="00527DC1">
        <w:rPr>
          <w:color w:val="000000"/>
          <w:szCs w:val="24"/>
        </w:rPr>
        <w:t xml:space="preserve"> for additional information. </w:t>
      </w:r>
      <w:r w:rsidR="00AC4ABD">
        <w:rPr>
          <w:color w:val="000000"/>
          <w:szCs w:val="24"/>
        </w:rPr>
        <w:t xml:space="preserve"> Please contact your assigned regional school nutrition or child nutrition program specialist with questions</w:t>
      </w:r>
      <w:r w:rsidR="00527DC1">
        <w:rPr>
          <w:color w:val="000000"/>
          <w:szCs w:val="24"/>
        </w:rPr>
        <w:t xml:space="preserve"> or for additional information</w:t>
      </w:r>
      <w:r w:rsidR="00AC4ABD">
        <w:rPr>
          <w:color w:val="000000"/>
          <w:szCs w:val="24"/>
        </w:rPr>
        <w:t xml:space="preserve">. </w:t>
      </w:r>
    </w:p>
    <w:p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C4ABD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94" w:rsidRDefault="00D47E94" w:rsidP="00B25322">
      <w:pPr>
        <w:spacing w:after="0" w:line="240" w:lineRule="auto"/>
      </w:pPr>
      <w:r>
        <w:separator/>
      </w:r>
    </w:p>
  </w:endnote>
  <w:endnote w:type="continuationSeparator" w:id="0">
    <w:p w:rsidR="00D47E94" w:rsidRDefault="00D47E9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94" w:rsidRDefault="00D47E94" w:rsidP="00B25322">
      <w:pPr>
        <w:spacing w:after="0" w:line="240" w:lineRule="auto"/>
      </w:pPr>
      <w:r>
        <w:separator/>
      </w:r>
    </w:p>
  </w:footnote>
  <w:footnote w:type="continuationSeparator" w:id="0">
    <w:p w:rsidR="00D47E94" w:rsidRDefault="00D47E9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0A2D"/>
    <w:multiLevelType w:val="hybridMultilevel"/>
    <w:tmpl w:val="0A34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E6E3A"/>
    <w:rsid w:val="000F6B21"/>
    <w:rsid w:val="00167950"/>
    <w:rsid w:val="00223595"/>
    <w:rsid w:val="00227B1E"/>
    <w:rsid w:val="0027145D"/>
    <w:rsid w:val="002A3CA5"/>
    <w:rsid w:val="002A6350"/>
    <w:rsid w:val="002F2DAF"/>
    <w:rsid w:val="0031177E"/>
    <w:rsid w:val="003238EA"/>
    <w:rsid w:val="00331284"/>
    <w:rsid w:val="00356199"/>
    <w:rsid w:val="003D79AA"/>
    <w:rsid w:val="00406FF4"/>
    <w:rsid w:val="00480879"/>
    <w:rsid w:val="004829E4"/>
    <w:rsid w:val="004F6547"/>
    <w:rsid w:val="00527DC1"/>
    <w:rsid w:val="00544584"/>
    <w:rsid w:val="005A5128"/>
    <w:rsid w:val="005E06EF"/>
    <w:rsid w:val="005F6AB6"/>
    <w:rsid w:val="00625A9B"/>
    <w:rsid w:val="00641205"/>
    <w:rsid w:val="00653DCC"/>
    <w:rsid w:val="00704CBF"/>
    <w:rsid w:val="00720601"/>
    <w:rsid w:val="0073236D"/>
    <w:rsid w:val="00737573"/>
    <w:rsid w:val="00755909"/>
    <w:rsid w:val="00793593"/>
    <w:rsid w:val="007A73B4"/>
    <w:rsid w:val="007C0B3F"/>
    <w:rsid w:val="007C3E67"/>
    <w:rsid w:val="00846B0C"/>
    <w:rsid w:val="00851C0B"/>
    <w:rsid w:val="008631A7"/>
    <w:rsid w:val="0089504C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C4ABD"/>
    <w:rsid w:val="00AD228F"/>
    <w:rsid w:val="00AE65FD"/>
    <w:rsid w:val="00AF64DA"/>
    <w:rsid w:val="00B01E92"/>
    <w:rsid w:val="00B221CB"/>
    <w:rsid w:val="00B25322"/>
    <w:rsid w:val="00B452CC"/>
    <w:rsid w:val="00B830CB"/>
    <w:rsid w:val="00BB38FE"/>
    <w:rsid w:val="00BC1A9C"/>
    <w:rsid w:val="00BE00E6"/>
    <w:rsid w:val="00C02E04"/>
    <w:rsid w:val="00C07DFE"/>
    <w:rsid w:val="00C23584"/>
    <w:rsid w:val="00C24D60"/>
    <w:rsid w:val="00C25FA1"/>
    <w:rsid w:val="00C362FD"/>
    <w:rsid w:val="00C657C9"/>
    <w:rsid w:val="00CA70A4"/>
    <w:rsid w:val="00CF0233"/>
    <w:rsid w:val="00D47E94"/>
    <w:rsid w:val="00D534B4"/>
    <w:rsid w:val="00D55B56"/>
    <w:rsid w:val="00DA14B1"/>
    <w:rsid w:val="00DB0D7F"/>
    <w:rsid w:val="00DD368F"/>
    <w:rsid w:val="00DE36A1"/>
    <w:rsid w:val="00E12E2F"/>
    <w:rsid w:val="00E16A6C"/>
    <w:rsid w:val="00E4085F"/>
    <w:rsid w:val="00E60B72"/>
    <w:rsid w:val="00E75FCE"/>
    <w:rsid w:val="00E760E6"/>
    <w:rsid w:val="00ED79E7"/>
    <w:rsid w:val="00F41943"/>
    <w:rsid w:val="00F431F0"/>
    <w:rsid w:val="00F81813"/>
    <w:rsid w:val="00FA0906"/>
    <w:rsid w:val="00FA6270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16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support/nutrition/regulations/dir_memo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cn/covid-19-child-nutrition-response-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acfp/flexibilities-during-covid-19-supply-chain-disrup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ACEB-4F3D-4BC5-8417-769DD2B0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2021-2022-21, Child and Adult Care Food Program Flexibilities during COVID-19 Supply Chain Disruptions</vt:lpstr>
    </vt:vector>
  </TitlesOfParts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2021-2022-21, Child and Adult Care Food Program Flexibilities during COVID-19 Supply Chain Disruptions</dc:title>
  <dc:creator/>
  <cp:lastModifiedBy/>
  <cp:revision>1</cp:revision>
  <dcterms:created xsi:type="dcterms:W3CDTF">2022-01-13T18:46:00Z</dcterms:created>
  <dcterms:modified xsi:type="dcterms:W3CDTF">2022-01-13T18:46:00Z</dcterms:modified>
</cp:coreProperties>
</file>