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A093" w14:textId="58F09F90" w:rsidR="005B60E4" w:rsidRDefault="00B85DD2">
      <w:pPr>
        <w:pStyle w:val="Heading1"/>
        <w:spacing w:line="276" w:lineRule="auto"/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Attachm</w:t>
      </w:r>
      <w:r w:rsidR="005837A4">
        <w:rPr>
          <w:sz w:val="24"/>
          <w:szCs w:val="24"/>
        </w:rPr>
        <w:t>ent A, SNP Memo No. 2022-2023-20</w:t>
      </w:r>
    </w:p>
    <w:p w14:paraId="0E080B83" w14:textId="216F74BD" w:rsidR="005B60E4" w:rsidRDefault="003146EC">
      <w:pPr>
        <w:pStyle w:val="Heading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B85DD2">
        <w:rPr>
          <w:sz w:val="24"/>
          <w:szCs w:val="24"/>
        </w:rPr>
        <w:t>, 2022</w:t>
      </w:r>
    </w:p>
    <w:p w14:paraId="65AE477A" w14:textId="77777777" w:rsidR="005B60E4" w:rsidRDefault="005B60E4">
      <w:pPr>
        <w:jc w:val="center"/>
      </w:pPr>
    </w:p>
    <w:p w14:paraId="69F8F792" w14:textId="77777777" w:rsidR="005B60E4" w:rsidRDefault="00B85DD2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870FD17" wp14:editId="01AA39B2">
            <wp:extent cx="2571750" cy="1333500"/>
            <wp:effectExtent l="0" t="0" r="0" b="0"/>
            <wp:docPr id="5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E9D98" w14:textId="77777777" w:rsidR="005B60E4" w:rsidRPr="005E1203" w:rsidRDefault="004A0F09" w:rsidP="00C6631C">
      <w:pPr>
        <w:spacing w:after="360"/>
        <w:jc w:val="center"/>
        <w:rPr>
          <w:rFonts w:ascii="Times New Roman" w:hAnsi="Times New Roman" w:cs="Times New Roman"/>
          <w:sz w:val="36"/>
          <w:szCs w:val="36"/>
        </w:rPr>
      </w:pPr>
      <w:r w:rsidRPr="005E1203">
        <w:rPr>
          <w:rFonts w:ascii="Times New Roman" w:hAnsi="Times New Roman" w:cs="Times New Roman"/>
          <w:sz w:val="36"/>
          <w:szCs w:val="36"/>
        </w:rPr>
        <w:t>School Year 2022</w:t>
      </w:r>
      <w:r w:rsidR="00C84E5E" w:rsidRPr="005E1203">
        <w:rPr>
          <w:rFonts w:ascii="Times New Roman" w:hAnsi="Times New Roman" w:cs="Times New Roman"/>
          <w:sz w:val="36"/>
          <w:szCs w:val="36"/>
        </w:rPr>
        <w:t>–</w:t>
      </w:r>
      <w:r w:rsidRPr="005E1203">
        <w:rPr>
          <w:rFonts w:ascii="Times New Roman" w:hAnsi="Times New Roman" w:cs="Times New Roman"/>
          <w:sz w:val="36"/>
          <w:szCs w:val="36"/>
        </w:rPr>
        <w:t xml:space="preserve">2023 </w:t>
      </w:r>
      <w:r w:rsidR="007D3C95" w:rsidRPr="005E1203">
        <w:rPr>
          <w:rFonts w:ascii="Times New Roman" w:hAnsi="Times New Roman" w:cs="Times New Roman"/>
          <w:sz w:val="36"/>
          <w:szCs w:val="36"/>
        </w:rPr>
        <w:t xml:space="preserve">National School Lunch Program and the School Breakfast Program Waivers for COVID-19 </w:t>
      </w:r>
    </w:p>
    <w:tbl>
      <w:tblPr>
        <w:tblStyle w:val="a"/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  <w:tblDescription w:val="This table describes the school meal program flexibilities elected by the Virginia Department of Education, Office of School Nutrition Programs. "/>
      </w:tblPr>
      <w:tblGrid>
        <w:gridCol w:w="2940"/>
        <w:gridCol w:w="4790"/>
      </w:tblGrid>
      <w:tr w:rsidR="00A524A1" w14:paraId="6AAB40C2" w14:textId="77777777" w:rsidTr="00461E1B">
        <w:trPr>
          <w:trHeight w:val="864"/>
          <w:tblHeader/>
          <w:jc w:val="center"/>
        </w:trPr>
        <w:tc>
          <w:tcPr>
            <w:tcW w:w="294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C7197" w14:textId="77777777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Topic</w:t>
            </w:r>
          </w:p>
        </w:tc>
        <w:tc>
          <w:tcPr>
            <w:tcW w:w="479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0D3D4" w14:textId="4DE2254A" w:rsidR="00A524A1" w:rsidRPr="00351470" w:rsidRDefault="007D3C95" w:rsidP="00461E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 xml:space="preserve">COVID-19 </w:t>
            </w:r>
            <w:r w:rsidR="00A524A1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Waivers</w:t>
            </w:r>
            <w:r w:rsidR="00A524A1"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 xml:space="preserve"> Available for SY 2022</w:t>
            </w:r>
            <w:r w:rsidR="00A524A1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–20</w:t>
            </w:r>
            <w:r w:rsidR="00A524A1"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23 Operations</w:t>
            </w:r>
          </w:p>
        </w:tc>
      </w:tr>
      <w:tr w:rsidR="00A524A1" w14:paraId="5C92C021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03D06" w14:textId="68967738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1B1B1B"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color w:val="1B1B1B"/>
                <w:highlight w:val="white"/>
              </w:rPr>
              <w:t>Non-congregate</w:t>
            </w:r>
            <w:r w:rsidR="00FC60F4">
              <w:rPr>
                <w:rFonts w:ascii="Times New Roman" w:eastAsia="Arial" w:hAnsi="Times New Roman" w:cs="Times New Roman"/>
                <w:b/>
                <w:color w:val="1B1B1B"/>
                <w:highlight w:val="white"/>
              </w:rPr>
              <w:t xml:space="preserve"> Meals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8AF1D" w14:textId="43A377AB" w:rsidR="00A524A1" w:rsidRPr="00A524A1" w:rsidRDefault="00A524A1" w:rsidP="00461E1B">
            <w:pPr>
              <w:spacing w:after="0" w:line="276" w:lineRule="auto"/>
              <w:rPr>
                <w:rFonts w:ascii="Times New Roman" w:eastAsia="Arial" w:hAnsi="Times New Roman" w:cs="Times New Roman"/>
                <w:color w:val="1B1B1B"/>
              </w:rPr>
            </w:pPr>
            <w:r w:rsidRPr="00A524A1">
              <w:rPr>
                <w:rFonts w:ascii="Times New Roman" w:eastAsia="Arial" w:hAnsi="Times New Roman" w:cs="Times New Roman"/>
                <w:color w:val="1B1B1B"/>
              </w:rPr>
              <w:t>This waiver allows SFAs to serve meals in a non-congregate sett</w:t>
            </w:r>
            <w:r>
              <w:rPr>
                <w:rFonts w:ascii="Times New Roman" w:eastAsia="Arial" w:hAnsi="Times New Roman" w:cs="Times New Roman"/>
                <w:color w:val="1B1B1B"/>
              </w:rPr>
              <w:t xml:space="preserve">ing. With this waiver, children </w:t>
            </w:r>
            <w:r w:rsidRPr="00A524A1">
              <w:rPr>
                <w:rFonts w:ascii="Times New Roman" w:eastAsia="Arial" w:hAnsi="Times New Roman" w:cs="Times New Roman"/>
                <w:color w:val="1B1B1B"/>
              </w:rPr>
              <w:t>do not need to consume meals onsite.</w:t>
            </w:r>
          </w:p>
        </w:tc>
      </w:tr>
      <w:tr w:rsidR="00A524A1" w14:paraId="59B9C3CF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18E9B" w14:textId="77777777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Meal Times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8E36F" w14:textId="2E2EFDDD" w:rsidR="00A524A1" w:rsidRPr="00A524A1" w:rsidRDefault="00A524A1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A524A1">
              <w:rPr>
                <w:rFonts w:ascii="Times New Roman" w:eastAsia="Arial" w:hAnsi="Times New Roman" w:cs="Times New Roman"/>
              </w:rPr>
              <w:t>This waiver eliminates the requirements surrounding set meal t</w:t>
            </w:r>
            <w:r>
              <w:rPr>
                <w:rFonts w:ascii="Times New Roman" w:eastAsia="Arial" w:hAnsi="Times New Roman" w:cs="Times New Roman"/>
              </w:rPr>
              <w:t xml:space="preserve">ime parameters for school lunch </w:t>
            </w:r>
            <w:r w:rsidRPr="00A524A1">
              <w:rPr>
                <w:rFonts w:ascii="Times New Roman" w:eastAsia="Arial" w:hAnsi="Times New Roman" w:cs="Times New Roman"/>
              </w:rPr>
              <w:t>and breakfast.</w:t>
            </w:r>
            <w:r w:rsidRPr="00A524A1" w:rsidDel="00A524A1">
              <w:rPr>
                <w:rFonts w:ascii="Times New Roman" w:eastAsia="Arial" w:hAnsi="Times New Roman" w:cs="Times New Roman"/>
                <w:highlight w:val="white"/>
              </w:rPr>
              <w:t xml:space="preserve"> </w:t>
            </w:r>
          </w:p>
        </w:tc>
      </w:tr>
      <w:tr w:rsidR="00A524A1" w14:paraId="762585BA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9B5AA" w14:textId="345718A6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Parent/Guardian Pick-</w:t>
            </w:r>
            <w:r>
              <w:rPr>
                <w:rFonts w:ascii="Times New Roman" w:eastAsia="Arial" w:hAnsi="Times New Roman" w:cs="Times New Roman"/>
                <w:b/>
                <w:highlight w:val="white"/>
              </w:rPr>
              <w:t>u</w:t>
            </w: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p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BE05" w14:textId="74CAA8C8" w:rsidR="00A524A1" w:rsidRPr="0016683C" w:rsidRDefault="0016683C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16683C">
              <w:rPr>
                <w:rFonts w:ascii="Times New Roman" w:eastAsia="Arial" w:hAnsi="Times New Roman" w:cs="Times New Roman"/>
              </w:rPr>
              <w:t>This waiver allows meals to be provided to</w:t>
            </w:r>
            <w:r>
              <w:rPr>
                <w:rFonts w:ascii="Times New Roman" w:eastAsia="Arial" w:hAnsi="Times New Roman" w:cs="Times New Roman"/>
              </w:rPr>
              <w:t xml:space="preserve"> parents </w:t>
            </w:r>
            <w:r w:rsidR="00FC60F4">
              <w:rPr>
                <w:rFonts w:ascii="Times New Roman" w:eastAsia="Arial" w:hAnsi="Times New Roman" w:cs="Times New Roman"/>
              </w:rPr>
              <w:t xml:space="preserve">or guardians </w:t>
            </w:r>
            <w:r>
              <w:rPr>
                <w:rFonts w:ascii="Times New Roman" w:eastAsia="Arial" w:hAnsi="Times New Roman" w:cs="Times New Roman"/>
              </w:rPr>
              <w:t xml:space="preserve">instead of directly to </w:t>
            </w:r>
            <w:r w:rsidRPr="0016683C">
              <w:rPr>
                <w:rFonts w:ascii="Times New Roman" w:eastAsia="Arial" w:hAnsi="Times New Roman" w:cs="Times New Roman"/>
              </w:rPr>
              <w:t>children. SFAs must have a plan for maintaining accountabil</w:t>
            </w:r>
            <w:r>
              <w:rPr>
                <w:rFonts w:ascii="Times New Roman" w:eastAsia="Arial" w:hAnsi="Times New Roman" w:cs="Times New Roman"/>
              </w:rPr>
              <w:t xml:space="preserve">ity and program integrity. This </w:t>
            </w:r>
            <w:r w:rsidRPr="0016683C">
              <w:rPr>
                <w:rFonts w:ascii="Times New Roman" w:eastAsia="Arial" w:hAnsi="Times New Roman" w:cs="Times New Roman"/>
              </w:rPr>
              <w:t>includes putting in place processes to ensure that meals are</w:t>
            </w:r>
            <w:r>
              <w:rPr>
                <w:rFonts w:ascii="Times New Roman" w:eastAsia="Arial" w:hAnsi="Times New Roman" w:cs="Times New Roman"/>
              </w:rPr>
              <w:t xml:space="preserve"> distributed only to parents and </w:t>
            </w:r>
            <w:r w:rsidRPr="0016683C">
              <w:rPr>
                <w:rFonts w:ascii="Times New Roman" w:eastAsia="Arial" w:hAnsi="Times New Roman" w:cs="Times New Roman"/>
              </w:rPr>
              <w:t>guardians of eligible children, and that duplicate meals are not distributed to any child.</w:t>
            </w:r>
          </w:p>
        </w:tc>
      </w:tr>
      <w:tr w:rsidR="00A524A1" w14:paraId="3F746A36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82E74" w14:textId="555791AF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Parent/Guardian Pick</w:t>
            </w:r>
            <w:r>
              <w:rPr>
                <w:rFonts w:ascii="Times New Roman" w:eastAsia="Arial" w:hAnsi="Times New Roman" w:cs="Times New Roman"/>
                <w:b/>
                <w:highlight w:val="white"/>
              </w:rPr>
              <w:t>-u</w:t>
            </w: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p for the Fresh Fruit and Vegetable Program (FFVP)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9B5E9" w14:textId="69E616AE" w:rsidR="00A524A1" w:rsidRPr="00BC2ACC" w:rsidRDefault="00BC2ACC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BC2ACC">
              <w:rPr>
                <w:rFonts w:ascii="Times New Roman" w:eastAsia="Arial" w:hAnsi="Times New Roman" w:cs="Times New Roman"/>
              </w:rPr>
              <w:t xml:space="preserve">This </w:t>
            </w:r>
            <w:r w:rsidR="0052537A">
              <w:rPr>
                <w:rFonts w:ascii="Times New Roman" w:eastAsia="Arial" w:hAnsi="Times New Roman" w:cs="Times New Roman"/>
              </w:rPr>
              <w:t>waiver</w:t>
            </w:r>
            <w:r w:rsidRPr="00BC2ACC">
              <w:rPr>
                <w:rFonts w:ascii="Times New Roman" w:eastAsia="Arial" w:hAnsi="Times New Roman" w:cs="Times New Roman"/>
              </w:rPr>
              <w:t xml:space="preserve"> allows SFAs participating in the FFVP to p</w:t>
            </w:r>
            <w:r>
              <w:rPr>
                <w:rFonts w:ascii="Times New Roman" w:eastAsia="Arial" w:hAnsi="Times New Roman" w:cs="Times New Roman"/>
              </w:rPr>
              <w:t xml:space="preserve">rovide FFVP foods to parents or </w:t>
            </w:r>
            <w:r w:rsidRPr="00BC2ACC">
              <w:rPr>
                <w:rFonts w:ascii="Times New Roman" w:eastAsia="Arial" w:hAnsi="Times New Roman" w:cs="Times New Roman"/>
              </w:rPr>
              <w:t>guardians of children whose elementary school is closed and who are learning virtually.</w:t>
            </w:r>
          </w:p>
        </w:tc>
      </w:tr>
      <w:tr w:rsidR="00A524A1" w14:paraId="35DFE969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B66CA" w14:textId="77777777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t>FFVP Service at Alternate Sites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9E0BF" w14:textId="73B487D1" w:rsidR="00A524A1" w:rsidRPr="0016683C" w:rsidRDefault="00345A73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345A73">
              <w:rPr>
                <w:rFonts w:ascii="Times New Roman" w:eastAsia="Arial" w:hAnsi="Times New Roman" w:cs="Times New Roman"/>
              </w:rPr>
              <w:t xml:space="preserve">This waiver allows SFAs </w:t>
            </w:r>
            <w:r>
              <w:rPr>
                <w:rFonts w:ascii="Times New Roman" w:eastAsia="Arial" w:hAnsi="Times New Roman" w:cs="Times New Roman"/>
              </w:rPr>
              <w:t xml:space="preserve">to provide FFVP </w:t>
            </w:r>
            <w:r w:rsidRPr="00345A73">
              <w:rPr>
                <w:rFonts w:ascii="Times New Roman" w:eastAsia="Arial" w:hAnsi="Times New Roman" w:cs="Times New Roman"/>
              </w:rPr>
              <w:t>foods at sites that are not FFVP elementary schools when FFVP elementary schools are closed.</w:t>
            </w:r>
          </w:p>
        </w:tc>
      </w:tr>
      <w:tr w:rsidR="00A524A1" w14:paraId="15958C4C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3BCE" w14:textId="77777777" w:rsidR="00A524A1" w:rsidRPr="00351470" w:rsidRDefault="00A524A1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351470">
              <w:rPr>
                <w:rFonts w:ascii="Times New Roman" w:eastAsia="Arial" w:hAnsi="Times New Roman" w:cs="Times New Roman"/>
                <w:b/>
                <w:highlight w:val="white"/>
              </w:rPr>
              <w:lastRenderedPageBreak/>
              <w:t>Offer Versus Serve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0D276" w14:textId="77777777" w:rsidR="002F6C2A" w:rsidRDefault="003E43F4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3E43F4">
              <w:rPr>
                <w:rFonts w:ascii="Times New Roman" w:eastAsia="Arial" w:hAnsi="Times New Roman" w:cs="Times New Roman"/>
              </w:rPr>
              <w:t>Traditionally, high schools must participate in offer versus serve at</w:t>
            </w:r>
            <w:r>
              <w:rPr>
                <w:rFonts w:ascii="Times New Roman" w:eastAsia="Arial" w:hAnsi="Times New Roman" w:cs="Times New Roman"/>
              </w:rPr>
              <w:t xml:space="preserve"> lunch. This </w:t>
            </w:r>
            <w:r w:rsidR="0052537A">
              <w:rPr>
                <w:rFonts w:ascii="Times New Roman" w:eastAsia="Arial" w:hAnsi="Times New Roman" w:cs="Times New Roman"/>
              </w:rPr>
              <w:t xml:space="preserve">waiver </w:t>
            </w:r>
            <w:r>
              <w:rPr>
                <w:rFonts w:ascii="Times New Roman" w:eastAsia="Arial" w:hAnsi="Times New Roman" w:cs="Times New Roman"/>
              </w:rPr>
              <w:t xml:space="preserve">allows </w:t>
            </w:r>
            <w:r w:rsidRPr="003E43F4">
              <w:rPr>
                <w:rFonts w:ascii="Times New Roman" w:eastAsia="Arial" w:hAnsi="Times New Roman" w:cs="Times New Roman"/>
              </w:rPr>
              <w:t>high schools to waive the requirement to serve school lunches</w:t>
            </w:r>
            <w:r>
              <w:rPr>
                <w:rFonts w:ascii="Times New Roman" w:eastAsia="Arial" w:hAnsi="Times New Roman" w:cs="Times New Roman"/>
              </w:rPr>
              <w:t xml:space="preserve"> to senior high school students </w:t>
            </w:r>
            <w:r w:rsidRPr="003E43F4">
              <w:rPr>
                <w:rFonts w:ascii="Times New Roman" w:eastAsia="Arial" w:hAnsi="Times New Roman" w:cs="Times New Roman"/>
              </w:rPr>
              <w:t xml:space="preserve">using offer versus serve. </w:t>
            </w:r>
          </w:p>
          <w:p w14:paraId="3BD2806C" w14:textId="46002824" w:rsidR="00A524A1" w:rsidRPr="003E43F4" w:rsidRDefault="003E43F4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3E43F4">
              <w:rPr>
                <w:rFonts w:ascii="Times New Roman" w:eastAsia="Arial" w:hAnsi="Times New Roman" w:cs="Times New Roman"/>
              </w:rPr>
              <w:t>This waiver also applies to SSO for th</w:t>
            </w:r>
            <w:r>
              <w:rPr>
                <w:rFonts w:ascii="Times New Roman" w:eastAsia="Arial" w:hAnsi="Times New Roman" w:cs="Times New Roman"/>
              </w:rPr>
              <w:t xml:space="preserve">e duration of this waiver, when </w:t>
            </w:r>
            <w:r w:rsidRPr="003E43F4">
              <w:rPr>
                <w:rFonts w:ascii="Times New Roman" w:eastAsia="Arial" w:hAnsi="Times New Roman" w:cs="Times New Roman"/>
              </w:rPr>
              <w:t>there is an unanticipated school closure during the school year.</w:t>
            </w:r>
          </w:p>
        </w:tc>
        <w:bookmarkStart w:id="1" w:name="_GoBack"/>
        <w:bookmarkEnd w:id="1"/>
      </w:tr>
      <w:tr w:rsidR="00B546ED" w14:paraId="555AB1A0" w14:textId="77777777" w:rsidTr="00461E1B">
        <w:trPr>
          <w:trHeight w:val="20"/>
          <w:jc w:val="center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5F4D" w14:textId="112518A2" w:rsidR="00B546ED" w:rsidRPr="00351470" w:rsidRDefault="00B546ED" w:rsidP="00461E1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highlight w:val="white"/>
              </w:rPr>
              <w:t>Carryover Eligibility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6F5A5" w14:textId="03099A91" w:rsidR="00B546ED" w:rsidRPr="00B546ED" w:rsidRDefault="00B546ED" w:rsidP="00461E1B">
            <w:pPr>
              <w:spacing w:after="0" w:line="276" w:lineRule="auto"/>
              <w:rPr>
                <w:rFonts w:ascii="Times New Roman" w:eastAsia="Arial" w:hAnsi="Times New Roman" w:cs="Times New Roman"/>
              </w:rPr>
            </w:pPr>
            <w:r w:rsidRPr="00B546ED">
              <w:rPr>
                <w:rFonts w:ascii="Times New Roman" w:eastAsia="Arial" w:hAnsi="Times New Roman" w:cs="Times New Roman"/>
              </w:rPr>
              <w:t>This waiver allows schools that operated the SSO f</w:t>
            </w:r>
            <w:r>
              <w:rPr>
                <w:rFonts w:ascii="Times New Roman" w:eastAsia="Arial" w:hAnsi="Times New Roman" w:cs="Times New Roman"/>
              </w:rPr>
              <w:t xml:space="preserve">or SY 2021–2022 and do not have </w:t>
            </w:r>
            <w:r w:rsidRPr="00B546ED">
              <w:rPr>
                <w:rFonts w:ascii="Times New Roman" w:eastAsia="Arial" w:hAnsi="Times New Roman" w:cs="Times New Roman"/>
              </w:rPr>
              <w:t>eligibility determinations from SY 2021–2022</w:t>
            </w:r>
            <w:r>
              <w:rPr>
                <w:rFonts w:ascii="Times New Roman" w:eastAsia="Arial" w:hAnsi="Times New Roman" w:cs="Times New Roman"/>
              </w:rPr>
              <w:t xml:space="preserve"> to use the most recent free and reduced-price </w:t>
            </w:r>
            <w:r w:rsidRPr="00B546ED">
              <w:rPr>
                <w:rFonts w:ascii="Times New Roman" w:eastAsia="Arial" w:hAnsi="Times New Roman" w:cs="Times New Roman"/>
              </w:rPr>
              <w:t>determinations</w:t>
            </w:r>
            <w:r w:rsidR="00872B6C">
              <w:rPr>
                <w:rFonts w:ascii="Times New Roman" w:eastAsia="Arial" w:hAnsi="Times New Roman" w:cs="Times New Roman"/>
              </w:rPr>
              <w:t>, as far back as</w:t>
            </w:r>
            <w:r w:rsidRPr="00B546ED">
              <w:rPr>
                <w:rFonts w:ascii="Times New Roman" w:eastAsia="Arial" w:hAnsi="Times New Roman" w:cs="Times New Roman"/>
              </w:rPr>
              <w:t xml:space="preserve"> SY 2019–2020</w:t>
            </w:r>
            <w:r w:rsidR="00872B6C">
              <w:rPr>
                <w:rFonts w:ascii="Times New Roman" w:eastAsia="Arial" w:hAnsi="Times New Roman" w:cs="Times New Roman"/>
              </w:rPr>
              <w:t>,</w:t>
            </w:r>
            <w:r w:rsidRPr="00B546ED">
              <w:rPr>
                <w:rFonts w:ascii="Times New Roman" w:eastAsia="Arial" w:hAnsi="Times New Roman" w:cs="Times New Roman"/>
              </w:rPr>
              <w:t xml:space="preserve"> during the 30-day carryov</w:t>
            </w:r>
            <w:r>
              <w:rPr>
                <w:rFonts w:ascii="Times New Roman" w:eastAsia="Arial" w:hAnsi="Times New Roman" w:cs="Times New Roman"/>
              </w:rPr>
              <w:t>er period of SY 2022–2023</w:t>
            </w:r>
            <w:r w:rsidR="00872B6C">
              <w:rPr>
                <w:rFonts w:ascii="Times New Roman" w:eastAsia="Arial" w:hAnsi="Times New Roman" w:cs="Times New Roman"/>
              </w:rPr>
              <w:t xml:space="preserve"> or until a new eligibility determination is made, whichever comes first. </w:t>
            </w:r>
          </w:p>
        </w:tc>
      </w:tr>
    </w:tbl>
    <w:p w14:paraId="25340A04" w14:textId="77777777" w:rsidR="005B60E4" w:rsidRDefault="005B60E4">
      <w:pPr>
        <w:jc w:val="center"/>
      </w:pPr>
    </w:p>
    <w:sectPr w:rsidR="005B60E4" w:rsidSect="00C84E5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13E9" w14:textId="77777777" w:rsidR="00A065FE" w:rsidRDefault="00A065FE" w:rsidP="00C84E5E">
      <w:pPr>
        <w:spacing w:after="0" w:line="240" w:lineRule="auto"/>
      </w:pPr>
      <w:r>
        <w:separator/>
      </w:r>
    </w:p>
  </w:endnote>
  <w:endnote w:type="continuationSeparator" w:id="0">
    <w:p w14:paraId="66776DEC" w14:textId="77777777" w:rsidR="00A065FE" w:rsidRDefault="00A065FE" w:rsidP="00C8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2BE4" w14:textId="77777777" w:rsidR="00A065FE" w:rsidRDefault="00A065FE" w:rsidP="00C84E5E">
      <w:pPr>
        <w:spacing w:after="0" w:line="240" w:lineRule="auto"/>
      </w:pPr>
      <w:r>
        <w:separator/>
      </w:r>
    </w:p>
  </w:footnote>
  <w:footnote w:type="continuationSeparator" w:id="0">
    <w:p w14:paraId="5A5C72D3" w14:textId="77777777" w:rsidR="00A065FE" w:rsidRDefault="00A065FE" w:rsidP="00C8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8294" w14:textId="438232ED" w:rsidR="00C84E5E" w:rsidRDefault="00C84E5E" w:rsidP="00C84E5E">
    <w:pPr>
      <w:pStyle w:val="Heading1"/>
      <w:spacing w:line="276" w:lineRule="auto"/>
      <w:jc w:val="right"/>
      <w:rPr>
        <w:sz w:val="24"/>
        <w:szCs w:val="24"/>
      </w:rPr>
    </w:pPr>
    <w:r>
      <w:rPr>
        <w:sz w:val="24"/>
        <w:szCs w:val="24"/>
      </w:rPr>
      <w:t>Attachm</w:t>
    </w:r>
    <w:r w:rsidR="008D5244">
      <w:rPr>
        <w:sz w:val="24"/>
        <w:szCs w:val="24"/>
      </w:rPr>
      <w:t>ent A, SNP Memo No. 2022-2023-20</w:t>
    </w:r>
  </w:p>
  <w:p w14:paraId="5AA48D89" w14:textId="7FD96F44" w:rsidR="00C84E5E" w:rsidRPr="00C84E5E" w:rsidRDefault="001F5D61" w:rsidP="00C84E5E">
    <w:pPr>
      <w:pStyle w:val="Heading1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>September 2</w:t>
    </w:r>
    <w:r w:rsidR="00C84E5E">
      <w:rPr>
        <w:sz w:val="24"/>
        <w:szCs w:val="24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4"/>
    <w:rsid w:val="00037AC7"/>
    <w:rsid w:val="00071B81"/>
    <w:rsid w:val="000A0B6B"/>
    <w:rsid w:val="0016683C"/>
    <w:rsid w:val="001F5D61"/>
    <w:rsid w:val="002139A5"/>
    <w:rsid w:val="00227B8B"/>
    <w:rsid w:val="002365F2"/>
    <w:rsid w:val="002F6C2A"/>
    <w:rsid w:val="003146EC"/>
    <w:rsid w:val="00345A73"/>
    <w:rsid w:val="00351470"/>
    <w:rsid w:val="0035284E"/>
    <w:rsid w:val="00354A24"/>
    <w:rsid w:val="003E43F4"/>
    <w:rsid w:val="00461E1B"/>
    <w:rsid w:val="004A0F09"/>
    <w:rsid w:val="004E7F78"/>
    <w:rsid w:val="0050337F"/>
    <w:rsid w:val="0052537A"/>
    <w:rsid w:val="005837A4"/>
    <w:rsid w:val="005B60E4"/>
    <w:rsid w:val="005E1203"/>
    <w:rsid w:val="00636061"/>
    <w:rsid w:val="007D3C95"/>
    <w:rsid w:val="00872B6C"/>
    <w:rsid w:val="008A7420"/>
    <w:rsid w:val="008D5244"/>
    <w:rsid w:val="00A065FE"/>
    <w:rsid w:val="00A43344"/>
    <w:rsid w:val="00A524A1"/>
    <w:rsid w:val="00B16DAF"/>
    <w:rsid w:val="00B546ED"/>
    <w:rsid w:val="00B70A6E"/>
    <w:rsid w:val="00B85DD2"/>
    <w:rsid w:val="00B97508"/>
    <w:rsid w:val="00BC2ACC"/>
    <w:rsid w:val="00C6631C"/>
    <w:rsid w:val="00C7308F"/>
    <w:rsid w:val="00C84E5E"/>
    <w:rsid w:val="00CE6867"/>
    <w:rsid w:val="00D26884"/>
    <w:rsid w:val="00D74BEB"/>
    <w:rsid w:val="00E42701"/>
    <w:rsid w:val="00E81679"/>
    <w:rsid w:val="00EB6C2C"/>
    <w:rsid w:val="00F81C9D"/>
    <w:rsid w:val="00F936A4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92"/>
  <w15:docId w15:val="{1A5A6190-9641-4785-B54B-868C0EB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53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6753D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81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5E"/>
  </w:style>
  <w:style w:type="paragraph" w:styleId="Footer">
    <w:name w:val="footer"/>
    <w:basedOn w:val="Normal"/>
    <w:link w:val="FooterChar"/>
    <w:uiPriority w:val="99"/>
    <w:unhideWhenUsed/>
    <w:rsid w:val="00C8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8oJGIutMsutTDFx6ie2rQVd6w==">AMUW2mUQdGjPzPFiH1dQ+xY5PfmLSd/m0t28kohsXmJ2mIsBLpebXZ2QCwAXVn16U4f41yurKNNlpK+IyTrAT8nrmEl3XSwwQvBR85RM0b/EHaztF9jLnPmL1kNiMHo49Oe3rBRGkLM/ND9jqxmMPmYs5PTd3+wSH4fObQPS/GIW2xssRGCS9Y3C7nB3d2JZ3UIhiqnm1XV84Hm41RSWGRTe/eucJ72YPNw+Jay+BRAj8e3chxbQndJF3FnZJVt+rjW2bDa+Mhg3veIKtlFsmcHwml0AANKsFBY1jp96bW5ky14c+eRuxHfuzCdfpuZ3Wbfa3w4ZSeU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7BC77A-E268-4A43-8734-AE3E4CD9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2022-2023-19, School Year 2022–2023 School Meal Program Waivers</vt:lpstr>
    </vt:vector>
  </TitlesOfParts>
  <Manager/>
  <Company>Virginia Information Technologies Agency</Company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2022-2023-20, School Year 2022–2023 School Meal Program Waivers</dc:title>
  <dc:subject/>
  <dc:creator>DOE Nutrition</dc:creator>
  <cp:keywords/>
  <dc:description/>
  <cp:lastModifiedBy>VITA Program</cp:lastModifiedBy>
  <cp:revision>4</cp:revision>
  <dcterms:created xsi:type="dcterms:W3CDTF">2022-09-01T18:22:00Z</dcterms:created>
  <dcterms:modified xsi:type="dcterms:W3CDTF">2022-09-01T18:54:00Z</dcterms:modified>
  <cp:category/>
</cp:coreProperties>
</file>