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A1A8" w14:textId="5A6E9120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0375B8">
        <w:t>20</w:t>
      </w:r>
      <w:r w:rsidR="004D16CA">
        <w:t>22-2023-</w:t>
      </w:r>
      <w:r w:rsidR="001B445F">
        <w:t>13</w:t>
      </w:r>
    </w:p>
    <w:p w14:paraId="2E4A84EC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BACD8EC" wp14:editId="110AAE7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  <w:bookmarkStart w:id="0" w:name="_GoBack"/>
      <w:bookmarkEnd w:id="0"/>
    </w:p>
    <w:p w14:paraId="7BDA11DF" w14:textId="62BC900D" w:rsidR="00167950" w:rsidRPr="00A65EE6" w:rsidRDefault="00167950" w:rsidP="00167950">
      <w:r w:rsidRPr="00A65EE6">
        <w:t xml:space="preserve">DATE: </w:t>
      </w:r>
      <w:r w:rsidR="00663227">
        <w:t xml:space="preserve">August </w:t>
      </w:r>
      <w:r w:rsidR="0059639C">
        <w:t>8</w:t>
      </w:r>
      <w:r w:rsidR="00663227">
        <w:t>, 2022</w:t>
      </w:r>
    </w:p>
    <w:p w14:paraId="77EC846E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7A169DE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66757DF" w14:textId="76EF3788" w:rsidR="00BF7EC9" w:rsidRPr="00BF7EC9" w:rsidRDefault="00BF7EC9" w:rsidP="00BF7EC9">
      <w:pPr>
        <w:outlineLvl w:val="1"/>
        <w:rPr>
          <w:b/>
          <w:sz w:val="31"/>
          <w:szCs w:val="31"/>
        </w:rPr>
      </w:pPr>
      <w:r w:rsidRPr="00BF7EC9">
        <w:rPr>
          <w:b/>
          <w:sz w:val="31"/>
          <w:szCs w:val="31"/>
        </w:rPr>
        <w:t xml:space="preserve">SUBJECT: </w:t>
      </w:r>
      <w:r w:rsidR="004D16CA">
        <w:rPr>
          <w:b/>
          <w:sz w:val="31"/>
          <w:szCs w:val="31"/>
        </w:rPr>
        <w:t>S</w:t>
      </w:r>
      <w:r w:rsidR="00663227">
        <w:rPr>
          <w:b/>
          <w:sz w:val="31"/>
          <w:szCs w:val="31"/>
        </w:rPr>
        <w:t xml:space="preserve">chool </w:t>
      </w:r>
      <w:r w:rsidR="004D16CA">
        <w:rPr>
          <w:b/>
          <w:sz w:val="31"/>
          <w:szCs w:val="31"/>
        </w:rPr>
        <w:t>N</w:t>
      </w:r>
      <w:r w:rsidR="00663227">
        <w:rPr>
          <w:b/>
          <w:sz w:val="31"/>
          <w:szCs w:val="31"/>
        </w:rPr>
        <w:t xml:space="preserve">utrition </w:t>
      </w:r>
      <w:r w:rsidR="004D16CA">
        <w:rPr>
          <w:b/>
          <w:sz w:val="31"/>
          <w:szCs w:val="31"/>
        </w:rPr>
        <w:t>P</w:t>
      </w:r>
      <w:r w:rsidR="00663227">
        <w:rPr>
          <w:b/>
          <w:sz w:val="31"/>
          <w:szCs w:val="31"/>
        </w:rPr>
        <w:t>rogram</w:t>
      </w:r>
      <w:r w:rsidR="004D16CA">
        <w:rPr>
          <w:b/>
          <w:sz w:val="31"/>
          <w:szCs w:val="31"/>
        </w:rPr>
        <w:t xml:space="preserve"> </w:t>
      </w:r>
      <w:r w:rsidRPr="00BF7EC9">
        <w:rPr>
          <w:b/>
          <w:sz w:val="31"/>
          <w:szCs w:val="31"/>
        </w:rPr>
        <w:t>Reimbursement Rates for School Year 2022</w:t>
      </w:r>
      <w:r w:rsidR="00663227">
        <w:rPr>
          <w:b/>
          <w:sz w:val="31"/>
          <w:szCs w:val="31"/>
        </w:rPr>
        <w:t>–</w:t>
      </w:r>
      <w:r w:rsidRPr="00BF7EC9">
        <w:rPr>
          <w:b/>
          <w:sz w:val="31"/>
          <w:szCs w:val="31"/>
        </w:rPr>
        <w:t>2023</w:t>
      </w:r>
    </w:p>
    <w:p w14:paraId="15A2C0E9" w14:textId="61FF9CC8" w:rsidR="00BF7EC9" w:rsidRDefault="00BF7EC9" w:rsidP="00BF7EC9">
      <w:pPr>
        <w:rPr>
          <w:color w:val="000000"/>
          <w:sz w:val="23"/>
          <w:szCs w:val="23"/>
        </w:rPr>
      </w:pPr>
      <w:r w:rsidRPr="00BF7EC9">
        <w:rPr>
          <w:color w:val="000000"/>
          <w:sz w:val="23"/>
          <w:szCs w:val="23"/>
        </w:rPr>
        <w:t xml:space="preserve">The purpose of this </w:t>
      </w:r>
      <w:r w:rsidR="00492299" w:rsidRPr="00492299">
        <w:rPr>
          <w:color w:val="000000"/>
          <w:sz w:val="23"/>
          <w:szCs w:val="23"/>
        </w:rPr>
        <w:t xml:space="preserve">memorandum </w:t>
      </w:r>
      <w:r w:rsidRPr="00BF7EC9">
        <w:rPr>
          <w:color w:val="000000"/>
          <w:sz w:val="23"/>
          <w:szCs w:val="23"/>
        </w:rPr>
        <w:t xml:space="preserve">is to provide the </w:t>
      </w:r>
      <w:r w:rsidR="00674DF6">
        <w:rPr>
          <w:color w:val="000000"/>
          <w:sz w:val="23"/>
          <w:szCs w:val="23"/>
        </w:rPr>
        <w:t>school year 2022-2023</w:t>
      </w:r>
      <w:r w:rsidRPr="00BF7EC9">
        <w:rPr>
          <w:color w:val="000000"/>
          <w:sz w:val="23"/>
          <w:szCs w:val="23"/>
        </w:rPr>
        <w:t xml:space="preserve"> reimbursement rates for the National School Lunch Program (NSLP), the School Breakfast Program (SBP), </w:t>
      </w:r>
      <w:r w:rsidR="004D16CA">
        <w:rPr>
          <w:color w:val="000000"/>
          <w:sz w:val="23"/>
          <w:szCs w:val="23"/>
        </w:rPr>
        <w:t>the Afterschool Snack Program (ASP)</w:t>
      </w:r>
      <w:r w:rsidR="00355FE0">
        <w:rPr>
          <w:color w:val="000000"/>
          <w:sz w:val="23"/>
          <w:szCs w:val="23"/>
        </w:rPr>
        <w:t>,</w:t>
      </w:r>
      <w:r w:rsidR="004D16CA">
        <w:rPr>
          <w:color w:val="000000"/>
          <w:sz w:val="23"/>
          <w:szCs w:val="23"/>
        </w:rPr>
        <w:t xml:space="preserve"> </w:t>
      </w:r>
      <w:r w:rsidR="00492299">
        <w:rPr>
          <w:color w:val="000000"/>
          <w:sz w:val="23"/>
          <w:szCs w:val="23"/>
        </w:rPr>
        <w:t xml:space="preserve">and </w:t>
      </w:r>
      <w:r w:rsidRPr="00BF7EC9">
        <w:rPr>
          <w:color w:val="000000"/>
          <w:sz w:val="23"/>
          <w:szCs w:val="23"/>
        </w:rPr>
        <w:t>the Special Milk Program (SMP)</w:t>
      </w:r>
      <w:r w:rsidR="00492299">
        <w:rPr>
          <w:color w:val="000000"/>
          <w:sz w:val="23"/>
          <w:szCs w:val="23"/>
        </w:rPr>
        <w:t>.</w:t>
      </w:r>
      <w:r w:rsidRPr="00BF7EC9">
        <w:rPr>
          <w:color w:val="000000"/>
          <w:sz w:val="23"/>
          <w:szCs w:val="23"/>
        </w:rPr>
        <w:t xml:space="preserve"> The rates are </w:t>
      </w:r>
      <w:r w:rsidR="004D16CA">
        <w:rPr>
          <w:color w:val="000000"/>
          <w:sz w:val="23"/>
          <w:szCs w:val="23"/>
        </w:rPr>
        <w:t>updated</w:t>
      </w:r>
      <w:r w:rsidRPr="00BF7EC9">
        <w:rPr>
          <w:color w:val="000000"/>
          <w:sz w:val="23"/>
          <w:szCs w:val="23"/>
        </w:rPr>
        <w:t xml:space="preserve"> on an annual basis and are effective July 1, 2022</w:t>
      </w:r>
      <w:r w:rsidR="00663227">
        <w:rPr>
          <w:color w:val="000000"/>
          <w:sz w:val="23"/>
          <w:szCs w:val="23"/>
        </w:rPr>
        <w:t>–</w:t>
      </w:r>
      <w:r w:rsidR="001B445F">
        <w:rPr>
          <w:color w:val="000000"/>
          <w:sz w:val="23"/>
          <w:szCs w:val="23"/>
        </w:rPr>
        <w:t xml:space="preserve"> </w:t>
      </w:r>
      <w:r w:rsidRPr="00BF7EC9">
        <w:rPr>
          <w:color w:val="000000"/>
          <w:sz w:val="23"/>
          <w:szCs w:val="23"/>
        </w:rPr>
        <w:t>June 30, 2023.</w:t>
      </w:r>
    </w:p>
    <w:p w14:paraId="70076C31" w14:textId="3FB776FD" w:rsidR="00786DED" w:rsidRPr="00786DED" w:rsidRDefault="004D16CA" w:rsidP="00B039F6">
      <w:pPr>
        <w:spacing w:after="240"/>
        <w:rPr>
          <w:color w:val="000000"/>
          <w:sz w:val="16"/>
          <w:szCs w:val="16"/>
        </w:rPr>
      </w:pPr>
      <w:r>
        <w:rPr>
          <w:color w:val="000000"/>
          <w:sz w:val="23"/>
          <w:szCs w:val="23"/>
        </w:rPr>
        <w:t xml:space="preserve">Section 2 of the </w:t>
      </w:r>
      <w:r w:rsidRPr="00786DED">
        <w:rPr>
          <w:color w:val="000000"/>
          <w:sz w:val="23"/>
          <w:szCs w:val="23"/>
        </w:rPr>
        <w:t>Keep Kids Fed Act of 2022</w:t>
      </w:r>
      <w:r>
        <w:rPr>
          <w:color w:val="000000"/>
          <w:sz w:val="23"/>
          <w:szCs w:val="23"/>
        </w:rPr>
        <w:t xml:space="preserve"> </w:t>
      </w:r>
      <w:r w:rsidRPr="00636E85">
        <w:rPr>
          <w:color w:val="000000"/>
          <w:sz w:val="23"/>
          <w:szCs w:val="23"/>
        </w:rPr>
        <w:t xml:space="preserve">(Public Law 117-158) provides temporary additional </w:t>
      </w:r>
      <w:r>
        <w:rPr>
          <w:color w:val="000000"/>
          <w:sz w:val="23"/>
          <w:szCs w:val="23"/>
        </w:rPr>
        <w:t>reimbursement</w:t>
      </w:r>
      <w:r w:rsidRPr="00636E8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of 15 cents for each breakfast and 40 cents for each lunch served. </w:t>
      </w:r>
      <w:r w:rsidRPr="00636E85">
        <w:rPr>
          <w:color w:val="000000"/>
          <w:sz w:val="23"/>
          <w:szCs w:val="23"/>
        </w:rPr>
        <w:t>This additional reimbursement amount will be available July 1, 2022</w:t>
      </w:r>
      <w:r w:rsidR="00663227">
        <w:rPr>
          <w:color w:val="000000"/>
          <w:sz w:val="23"/>
          <w:szCs w:val="23"/>
        </w:rPr>
        <w:softHyphen/>
        <w:t>–</w:t>
      </w:r>
      <w:r w:rsidR="001B445F">
        <w:rPr>
          <w:color w:val="000000"/>
          <w:sz w:val="23"/>
          <w:szCs w:val="23"/>
        </w:rPr>
        <w:t xml:space="preserve"> </w:t>
      </w:r>
      <w:r w:rsidRPr="00636E85">
        <w:rPr>
          <w:color w:val="000000"/>
          <w:sz w:val="23"/>
          <w:szCs w:val="23"/>
        </w:rPr>
        <w:t xml:space="preserve">June 30, 2023. </w:t>
      </w:r>
      <w:r>
        <w:rPr>
          <w:color w:val="000000"/>
          <w:sz w:val="23"/>
          <w:szCs w:val="23"/>
        </w:rPr>
        <w:t xml:space="preserve">This is </w:t>
      </w:r>
      <w:r w:rsidR="00674DF6">
        <w:rPr>
          <w:color w:val="000000"/>
          <w:sz w:val="23"/>
          <w:szCs w:val="23"/>
        </w:rPr>
        <w:t xml:space="preserve">included </w:t>
      </w:r>
      <w:r>
        <w:rPr>
          <w:color w:val="000000"/>
          <w:sz w:val="23"/>
          <w:szCs w:val="23"/>
        </w:rPr>
        <w:t>in the rates table below.</w:t>
      </w:r>
    </w:p>
    <w:tbl>
      <w:tblPr>
        <w:tblStyle w:val="TableGrid"/>
        <w:tblW w:w="0" w:type="auto"/>
        <w:tblInd w:w="1030" w:type="dxa"/>
        <w:tblLook w:val="04A0" w:firstRow="1" w:lastRow="0" w:firstColumn="1" w:lastColumn="0" w:noHBand="0" w:noVBand="1"/>
        <w:tblCaption w:val="SNP Reimbursement Rates effective July 1, 2022 to June 30, 2022"/>
        <w:tblDescription w:val="SNP Reimbursement Rates effective July 1, 2022, to June 30, 2022"/>
      </w:tblPr>
      <w:tblGrid>
        <w:gridCol w:w="1480"/>
        <w:gridCol w:w="1900"/>
        <w:gridCol w:w="1060"/>
        <w:gridCol w:w="1420"/>
        <w:gridCol w:w="1420"/>
      </w:tblGrid>
      <w:tr w:rsidR="00767D2C" w:rsidRPr="00767D2C" w14:paraId="44726D2D" w14:textId="77777777" w:rsidTr="00B039F6">
        <w:trPr>
          <w:trHeight w:val="315"/>
          <w:tblHeader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E871D" w14:textId="77777777" w:rsidR="00767D2C" w:rsidRPr="00D56F0C" w:rsidRDefault="00767D2C" w:rsidP="0067033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Meal Type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22525A" w14:textId="77777777" w:rsidR="00767D2C" w:rsidRPr="00D56F0C" w:rsidRDefault="00767D2C" w:rsidP="0067033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BE3956" w14:textId="77777777" w:rsidR="00767D2C" w:rsidRPr="00D56F0C" w:rsidRDefault="00767D2C" w:rsidP="0067033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Free</w:t>
            </w:r>
          </w:p>
        </w:tc>
        <w:tc>
          <w:tcPr>
            <w:tcW w:w="1420" w:type="dxa"/>
            <w:shd w:val="clear" w:color="auto" w:fill="F2F2F2" w:themeFill="background1" w:themeFillShade="F2"/>
            <w:noWrap/>
            <w:hideMark/>
          </w:tcPr>
          <w:p w14:paraId="00AA6ECA" w14:textId="77777777" w:rsidR="00767D2C" w:rsidRPr="00D56F0C" w:rsidRDefault="00767D2C" w:rsidP="0067033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Reduced</w:t>
            </w:r>
            <w:r w:rsidR="004D16CA" w:rsidRPr="00D56F0C">
              <w:rPr>
                <w:b/>
                <w:color w:val="000000"/>
                <w:sz w:val="23"/>
                <w:szCs w:val="23"/>
              </w:rPr>
              <w:t>-Price</w:t>
            </w:r>
          </w:p>
        </w:tc>
        <w:tc>
          <w:tcPr>
            <w:tcW w:w="1420" w:type="dxa"/>
            <w:shd w:val="clear" w:color="auto" w:fill="F2F2F2" w:themeFill="background1" w:themeFillShade="F2"/>
            <w:noWrap/>
            <w:hideMark/>
          </w:tcPr>
          <w:p w14:paraId="2568E6FE" w14:textId="77777777" w:rsidR="00767D2C" w:rsidRPr="00D56F0C" w:rsidRDefault="00767D2C" w:rsidP="0067033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Paid</w:t>
            </w:r>
          </w:p>
        </w:tc>
      </w:tr>
      <w:tr w:rsidR="00767D2C" w:rsidRPr="00767D2C" w14:paraId="1A6D0F64" w14:textId="77777777" w:rsidTr="00B039F6">
        <w:trPr>
          <w:trHeight w:val="315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32096" w14:textId="6B633C49" w:rsidR="00767D2C" w:rsidRPr="00767D2C" w:rsidRDefault="00355FE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SBP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61CB7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Severe Need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3D88CFF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2.67</w:t>
            </w:r>
          </w:p>
        </w:tc>
        <w:tc>
          <w:tcPr>
            <w:tcW w:w="1420" w:type="dxa"/>
            <w:noWrap/>
            <w:hideMark/>
          </w:tcPr>
          <w:p w14:paraId="15A5D76C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2.37</w:t>
            </w:r>
          </w:p>
        </w:tc>
        <w:tc>
          <w:tcPr>
            <w:tcW w:w="1420" w:type="dxa"/>
            <w:noWrap/>
            <w:hideMark/>
          </w:tcPr>
          <w:p w14:paraId="16461A56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0.50</w:t>
            </w:r>
          </w:p>
        </w:tc>
      </w:tr>
      <w:tr w:rsidR="00767D2C" w:rsidRPr="00767D2C" w14:paraId="495D2FF6" w14:textId="77777777" w:rsidTr="00B039F6">
        <w:trPr>
          <w:trHeight w:val="422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42101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 </w:t>
            </w:r>
            <w:r w:rsidR="00355FE0">
              <w:rPr>
                <w:color w:val="000000"/>
                <w:sz w:val="23"/>
                <w:szCs w:val="23"/>
              </w:rPr>
              <w:t>SBP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30D9E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Non-Severe Need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E4E093D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2.26</w:t>
            </w:r>
          </w:p>
        </w:tc>
        <w:tc>
          <w:tcPr>
            <w:tcW w:w="1420" w:type="dxa"/>
            <w:noWrap/>
            <w:hideMark/>
          </w:tcPr>
          <w:p w14:paraId="12C554C3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1.96</w:t>
            </w:r>
          </w:p>
        </w:tc>
        <w:tc>
          <w:tcPr>
            <w:tcW w:w="1420" w:type="dxa"/>
            <w:noWrap/>
            <w:hideMark/>
          </w:tcPr>
          <w:p w14:paraId="37516A06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0.50</w:t>
            </w:r>
          </w:p>
        </w:tc>
      </w:tr>
      <w:tr w:rsidR="00767D2C" w:rsidRPr="00767D2C" w14:paraId="05A2A583" w14:textId="77777777" w:rsidTr="00B039F6">
        <w:trPr>
          <w:trHeight w:val="315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5CAA9" w14:textId="536FF642" w:rsidR="00767D2C" w:rsidRPr="00767D2C" w:rsidRDefault="00355FE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NSLP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C6426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60% or more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BDAECD5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4.35</w:t>
            </w:r>
          </w:p>
        </w:tc>
        <w:tc>
          <w:tcPr>
            <w:tcW w:w="1420" w:type="dxa"/>
            <w:noWrap/>
            <w:hideMark/>
          </w:tcPr>
          <w:p w14:paraId="08BC77DB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3.95</w:t>
            </w:r>
          </w:p>
        </w:tc>
        <w:tc>
          <w:tcPr>
            <w:tcW w:w="1420" w:type="dxa"/>
            <w:noWrap/>
            <w:hideMark/>
          </w:tcPr>
          <w:p w14:paraId="414EC32E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0.79</w:t>
            </w:r>
          </w:p>
        </w:tc>
      </w:tr>
      <w:tr w:rsidR="00767D2C" w:rsidRPr="00767D2C" w14:paraId="48BB13EA" w14:textId="77777777" w:rsidTr="00B039F6">
        <w:trPr>
          <w:trHeight w:val="467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45859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 </w:t>
            </w:r>
            <w:r w:rsidR="00355FE0">
              <w:rPr>
                <w:color w:val="000000"/>
                <w:sz w:val="23"/>
                <w:szCs w:val="23"/>
              </w:rPr>
              <w:t>NSLP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E2C4A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Less than 60%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4E60A8C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4.33</w:t>
            </w:r>
          </w:p>
        </w:tc>
        <w:tc>
          <w:tcPr>
            <w:tcW w:w="1420" w:type="dxa"/>
            <w:noWrap/>
            <w:hideMark/>
          </w:tcPr>
          <w:p w14:paraId="582F5368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3.93</w:t>
            </w:r>
          </w:p>
        </w:tc>
        <w:tc>
          <w:tcPr>
            <w:tcW w:w="1420" w:type="dxa"/>
            <w:noWrap/>
            <w:hideMark/>
          </w:tcPr>
          <w:p w14:paraId="2A9F9F9D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0.77</w:t>
            </w:r>
          </w:p>
        </w:tc>
      </w:tr>
      <w:tr w:rsidR="00767D2C" w:rsidRPr="00767D2C" w14:paraId="7CA2121C" w14:textId="77777777" w:rsidTr="00B039F6">
        <w:trPr>
          <w:trHeight w:val="315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7D598" w14:textId="61073C39" w:rsidR="00767D2C" w:rsidRPr="00767D2C" w:rsidRDefault="00355FE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ASP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FD09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 xml:space="preserve">Area Eligible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8FD33C9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1.08</w:t>
            </w:r>
          </w:p>
        </w:tc>
        <w:tc>
          <w:tcPr>
            <w:tcW w:w="1420" w:type="dxa"/>
            <w:noWrap/>
            <w:hideMark/>
          </w:tcPr>
          <w:p w14:paraId="34B8870D" w14:textId="77777777" w:rsidR="00767D2C" w:rsidRPr="00767D2C" w:rsidRDefault="00767D2C" w:rsidP="00D56F0C">
            <w:pPr>
              <w:jc w:val="center"/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N/A</w:t>
            </w:r>
          </w:p>
        </w:tc>
        <w:tc>
          <w:tcPr>
            <w:tcW w:w="1420" w:type="dxa"/>
            <w:noWrap/>
            <w:hideMark/>
          </w:tcPr>
          <w:p w14:paraId="2621E02E" w14:textId="77777777" w:rsidR="00767D2C" w:rsidRPr="00767D2C" w:rsidRDefault="00767D2C" w:rsidP="00D56F0C">
            <w:pPr>
              <w:jc w:val="center"/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N/A</w:t>
            </w:r>
          </w:p>
        </w:tc>
      </w:tr>
      <w:tr w:rsidR="00767D2C" w:rsidRPr="00767D2C" w14:paraId="6DD9B477" w14:textId="77777777" w:rsidTr="00B039F6">
        <w:trPr>
          <w:trHeight w:val="395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DAE5C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 </w:t>
            </w:r>
            <w:r w:rsidR="00355FE0">
              <w:rPr>
                <w:color w:val="000000"/>
                <w:sz w:val="23"/>
                <w:szCs w:val="23"/>
              </w:rPr>
              <w:t>ASP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6F8BA" w14:textId="77777777" w:rsidR="00767D2C" w:rsidRPr="00767D2C" w:rsidRDefault="00767D2C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Regular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3F0FAC6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1.08</w:t>
            </w:r>
          </w:p>
        </w:tc>
        <w:tc>
          <w:tcPr>
            <w:tcW w:w="1420" w:type="dxa"/>
            <w:noWrap/>
            <w:hideMark/>
          </w:tcPr>
          <w:p w14:paraId="1ED13381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0.54</w:t>
            </w:r>
          </w:p>
        </w:tc>
        <w:tc>
          <w:tcPr>
            <w:tcW w:w="1420" w:type="dxa"/>
            <w:noWrap/>
            <w:hideMark/>
          </w:tcPr>
          <w:p w14:paraId="5AB1B0D5" w14:textId="77777777" w:rsidR="00767D2C" w:rsidRPr="00767D2C" w:rsidRDefault="004D16CA" w:rsidP="00D56F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="00767D2C" w:rsidRPr="00767D2C">
              <w:rPr>
                <w:color w:val="000000"/>
                <w:sz w:val="23"/>
                <w:szCs w:val="23"/>
              </w:rPr>
              <w:t>0.09</w:t>
            </w:r>
          </w:p>
        </w:tc>
      </w:tr>
      <w:tr w:rsidR="00197D2B" w:rsidRPr="00767D2C" w14:paraId="409E990A" w14:textId="77777777" w:rsidTr="00B039F6">
        <w:trPr>
          <w:trHeight w:val="315"/>
        </w:trPr>
        <w:tc>
          <w:tcPr>
            <w:tcW w:w="1480" w:type="dxa"/>
            <w:tcBorders>
              <w:right w:val="single" w:sz="4" w:space="0" w:color="auto"/>
            </w:tcBorders>
            <w:noWrap/>
            <w:hideMark/>
          </w:tcPr>
          <w:p w14:paraId="53ED384F" w14:textId="763B2B07" w:rsidR="00197D2B" w:rsidRPr="00767D2C" w:rsidRDefault="00355FE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SMP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960AEF" w14:textId="77777777" w:rsidR="00197D2B" w:rsidRPr="00767D2C" w:rsidRDefault="00197D2B">
            <w:pPr>
              <w:rPr>
                <w:color w:val="000000"/>
                <w:sz w:val="23"/>
                <w:szCs w:val="23"/>
              </w:rPr>
            </w:pPr>
            <w:r w:rsidRPr="00767D2C">
              <w:rPr>
                <w:color w:val="000000"/>
                <w:sz w:val="23"/>
                <w:szCs w:val="23"/>
              </w:rPr>
              <w:t> </w:t>
            </w:r>
            <w:r w:rsidR="00355FE0">
              <w:rPr>
                <w:color w:val="000000"/>
                <w:sz w:val="23"/>
                <w:szCs w:val="23"/>
              </w:rPr>
              <w:t>N/A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hideMark/>
          </w:tcPr>
          <w:p w14:paraId="6D2E63AA" w14:textId="77777777" w:rsidR="00197D2B" w:rsidRPr="00767D2C" w:rsidRDefault="00197D2B" w:rsidP="00197D2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0.27</w:t>
            </w:r>
          </w:p>
        </w:tc>
        <w:tc>
          <w:tcPr>
            <w:tcW w:w="1420" w:type="dxa"/>
          </w:tcPr>
          <w:p w14:paraId="27B25FBA" w14:textId="77777777" w:rsidR="00197D2B" w:rsidRPr="00767D2C" w:rsidRDefault="00197D2B" w:rsidP="00B039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0.27</w:t>
            </w:r>
          </w:p>
        </w:tc>
        <w:tc>
          <w:tcPr>
            <w:tcW w:w="1420" w:type="dxa"/>
          </w:tcPr>
          <w:p w14:paraId="010F3CDD" w14:textId="77777777" w:rsidR="00197D2B" w:rsidRPr="00767D2C" w:rsidRDefault="00197D2B" w:rsidP="00B039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</w:t>
            </w:r>
            <w:r w:rsidRPr="00767D2C">
              <w:rPr>
                <w:color w:val="000000"/>
                <w:sz w:val="23"/>
                <w:szCs w:val="23"/>
              </w:rPr>
              <w:t>0.27</w:t>
            </w:r>
          </w:p>
        </w:tc>
      </w:tr>
    </w:tbl>
    <w:p w14:paraId="0D005E56" w14:textId="57E67359" w:rsidR="00E238CA" w:rsidRPr="00BF7EC9" w:rsidRDefault="001B61A5" w:rsidP="00B039F6">
      <w:pPr>
        <w:spacing w:before="240" w:after="240"/>
        <w:rPr>
          <w:color w:val="000000"/>
          <w:sz w:val="23"/>
          <w:szCs w:val="23"/>
        </w:rPr>
      </w:pPr>
      <w:r w:rsidRPr="001B61A5">
        <w:rPr>
          <w:color w:val="000000"/>
          <w:sz w:val="23"/>
          <w:szCs w:val="23"/>
        </w:rPr>
        <w:t>Please contact your assigned S</w:t>
      </w:r>
      <w:r w:rsidR="00663227">
        <w:rPr>
          <w:color w:val="000000"/>
          <w:sz w:val="23"/>
          <w:szCs w:val="23"/>
        </w:rPr>
        <w:t xml:space="preserve">chool </w:t>
      </w:r>
      <w:r w:rsidRPr="001B61A5">
        <w:rPr>
          <w:color w:val="000000"/>
          <w:sz w:val="23"/>
          <w:szCs w:val="23"/>
        </w:rPr>
        <w:t>N</w:t>
      </w:r>
      <w:r w:rsidR="00663227">
        <w:rPr>
          <w:color w:val="000000"/>
          <w:sz w:val="23"/>
          <w:szCs w:val="23"/>
        </w:rPr>
        <w:t xml:space="preserve">utrition </w:t>
      </w:r>
      <w:r w:rsidRPr="001B61A5">
        <w:rPr>
          <w:color w:val="000000"/>
          <w:sz w:val="23"/>
          <w:szCs w:val="23"/>
        </w:rPr>
        <w:t>P</w:t>
      </w:r>
      <w:r w:rsidR="00663227">
        <w:rPr>
          <w:color w:val="000000"/>
          <w:sz w:val="23"/>
          <w:szCs w:val="23"/>
        </w:rPr>
        <w:t>rograms</w:t>
      </w:r>
      <w:r w:rsidRPr="001B61A5">
        <w:rPr>
          <w:color w:val="000000"/>
          <w:sz w:val="23"/>
          <w:szCs w:val="23"/>
        </w:rPr>
        <w:t xml:space="preserve"> </w:t>
      </w:r>
      <w:r w:rsidR="00A27FB9">
        <w:rPr>
          <w:color w:val="000000"/>
          <w:sz w:val="23"/>
          <w:szCs w:val="23"/>
        </w:rPr>
        <w:t>r</w:t>
      </w:r>
      <w:r w:rsidRPr="001B61A5">
        <w:rPr>
          <w:color w:val="000000"/>
          <w:sz w:val="23"/>
          <w:szCs w:val="23"/>
        </w:rPr>
        <w:t xml:space="preserve">egional </w:t>
      </w:r>
      <w:r w:rsidR="00A27FB9">
        <w:rPr>
          <w:color w:val="000000"/>
          <w:sz w:val="23"/>
          <w:szCs w:val="23"/>
        </w:rPr>
        <w:t>s</w:t>
      </w:r>
      <w:r w:rsidRPr="001B61A5">
        <w:rPr>
          <w:color w:val="000000"/>
          <w:sz w:val="23"/>
          <w:szCs w:val="23"/>
        </w:rPr>
        <w:t>pecialist with any questions.</w:t>
      </w:r>
    </w:p>
    <w:p w14:paraId="622FB7D9" w14:textId="77777777" w:rsidR="00D2218A" w:rsidRPr="00045AFE" w:rsidRDefault="00BF7EC9" w:rsidP="00D2218A">
      <w:pPr>
        <w:rPr>
          <w:color w:val="000000"/>
          <w:sz w:val="23"/>
          <w:szCs w:val="23"/>
        </w:rPr>
      </w:pPr>
      <w:r w:rsidRPr="00BF7EC9">
        <w:rPr>
          <w:color w:val="000000"/>
          <w:sz w:val="23"/>
          <w:szCs w:val="23"/>
        </w:rPr>
        <w:t>SCC/DCB/</w:t>
      </w:r>
      <w:r w:rsidR="00636E85">
        <w:rPr>
          <w:color w:val="000000"/>
          <w:sz w:val="23"/>
          <w:szCs w:val="23"/>
        </w:rPr>
        <w:t>rd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BEFB" w14:textId="77777777" w:rsidR="000D1A34" w:rsidRDefault="000D1A34" w:rsidP="00B25322">
      <w:pPr>
        <w:spacing w:after="0" w:line="240" w:lineRule="auto"/>
      </w:pPr>
      <w:r>
        <w:separator/>
      </w:r>
    </w:p>
  </w:endnote>
  <w:endnote w:type="continuationSeparator" w:id="0">
    <w:p w14:paraId="6BF5D747" w14:textId="77777777" w:rsidR="000D1A34" w:rsidRDefault="000D1A3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735A" w14:textId="77777777" w:rsidR="000D1A34" w:rsidRDefault="000D1A34" w:rsidP="00B25322">
      <w:pPr>
        <w:spacing w:after="0" w:line="240" w:lineRule="auto"/>
      </w:pPr>
      <w:r>
        <w:separator/>
      </w:r>
    </w:p>
  </w:footnote>
  <w:footnote w:type="continuationSeparator" w:id="0">
    <w:p w14:paraId="27C91D87" w14:textId="77777777" w:rsidR="000D1A34" w:rsidRDefault="000D1A3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D1A34"/>
    <w:rsid w:val="000E2D83"/>
    <w:rsid w:val="000F56C8"/>
    <w:rsid w:val="000F6B21"/>
    <w:rsid w:val="00167950"/>
    <w:rsid w:val="00197D2B"/>
    <w:rsid w:val="001B445F"/>
    <w:rsid w:val="001B61A5"/>
    <w:rsid w:val="00223595"/>
    <w:rsid w:val="00227B1E"/>
    <w:rsid w:val="0027145D"/>
    <w:rsid w:val="002A6350"/>
    <w:rsid w:val="002F2DAF"/>
    <w:rsid w:val="0031177E"/>
    <w:rsid w:val="003238EA"/>
    <w:rsid w:val="00355FE0"/>
    <w:rsid w:val="003649B6"/>
    <w:rsid w:val="003824FC"/>
    <w:rsid w:val="003D79AA"/>
    <w:rsid w:val="00406FF4"/>
    <w:rsid w:val="00436535"/>
    <w:rsid w:val="00467E92"/>
    <w:rsid w:val="00480879"/>
    <w:rsid w:val="004829E4"/>
    <w:rsid w:val="00492299"/>
    <w:rsid w:val="004D16CA"/>
    <w:rsid w:val="004F6547"/>
    <w:rsid w:val="00544584"/>
    <w:rsid w:val="0059639C"/>
    <w:rsid w:val="005E06EF"/>
    <w:rsid w:val="00625A9B"/>
    <w:rsid w:val="00636E85"/>
    <w:rsid w:val="00653DCC"/>
    <w:rsid w:val="00663227"/>
    <w:rsid w:val="0067033F"/>
    <w:rsid w:val="00674DF6"/>
    <w:rsid w:val="006C6806"/>
    <w:rsid w:val="0073236D"/>
    <w:rsid w:val="00767D2C"/>
    <w:rsid w:val="00784977"/>
    <w:rsid w:val="00786DED"/>
    <w:rsid w:val="00793593"/>
    <w:rsid w:val="007A73B4"/>
    <w:rsid w:val="007C0B3F"/>
    <w:rsid w:val="007C3E67"/>
    <w:rsid w:val="00846B0C"/>
    <w:rsid w:val="00851C0B"/>
    <w:rsid w:val="008631A7"/>
    <w:rsid w:val="008C4A46"/>
    <w:rsid w:val="00977AFA"/>
    <w:rsid w:val="009B51FA"/>
    <w:rsid w:val="009C7253"/>
    <w:rsid w:val="009D18E1"/>
    <w:rsid w:val="00A26586"/>
    <w:rsid w:val="00A27FB9"/>
    <w:rsid w:val="00A30BC9"/>
    <w:rsid w:val="00A3144F"/>
    <w:rsid w:val="00A65EE6"/>
    <w:rsid w:val="00A67B2F"/>
    <w:rsid w:val="00A94BC5"/>
    <w:rsid w:val="00AD228F"/>
    <w:rsid w:val="00AD3A80"/>
    <w:rsid w:val="00AE65FD"/>
    <w:rsid w:val="00B01E92"/>
    <w:rsid w:val="00B02F1C"/>
    <w:rsid w:val="00B039F6"/>
    <w:rsid w:val="00B25322"/>
    <w:rsid w:val="00BC1A9C"/>
    <w:rsid w:val="00BE00E6"/>
    <w:rsid w:val="00BF7EC9"/>
    <w:rsid w:val="00C07DFE"/>
    <w:rsid w:val="00C23584"/>
    <w:rsid w:val="00C24D60"/>
    <w:rsid w:val="00C25FA1"/>
    <w:rsid w:val="00CA70A4"/>
    <w:rsid w:val="00CD18E2"/>
    <w:rsid w:val="00CE0E15"/>
    <w:rsid w:val="00CE2F7B"/>
    <w:rsid w:val="00CF0233"/>
    <w:rsid w:val="00D2218A"/>
    <w:rsid w:val="00D438C3"/>
    <w:rsid w:val="00D534B4"/>
    <w:rsid w:val="00D55B56"/>
    <w:rsid w:val="00D56F0C"/>
    <w:rsid w:val="00DA14B1"/>
    <w:rsid w:val="00DD368F"/>
    <w:rsid w:val="00DE36A1"/>
    <w:rsid w:val="00E079F8"/>
    <w:rsid w:val="00E12E2F"/>
    <w:rsid w:val="00E238CA"/>
    <w:rsid w:val="00E4085F"/>
    <w:rsid w:val="00E70BEA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07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680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2DD4-56F7-4677-A196-14F09C3F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School Nutrition Program Reimbursement Rates for School Year 2022–2023</vt:lpstr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2022-2023-13, School Nutrition Program Reimbursement Rates for School Year 2022–2023</dc:title>
  <dc:subject/>
  <dc:creator/>
  <cp:keywords/>
  <dc:description/>
  <cp:lastModifiedBy/>
  <cp:revision>1</cp:revision>
  <dcterms:created xsi:type="dcterms:W3CDTF">2022-08-08T16:26:00Z</dcterms:created>
  <dcterms:modified xsi:type="dcterms:W3CDTF">2022-08-08T17:38:00Z</dcterms:modified>
  <cp:category/>
</cp:coreProperties>
</file>