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31" w:rsidRPr="00A058B4" w:rsidRDefault="00363AFB" w:rsidP="009341F0">
      <w:pPr>
        <w:pStyle w:val="Heading1"/>
      </w:pPr>
      <w:r>
        <w:t>Using the Laws of Exponents to Interpret Scientific Notation</w:t>
      </w:r>
      <w:r w:rsidR="00BF046F">
        <w:t xml:space="preserve"> </w:t>
      </w:r>
      <w:r w:rsidR="007947F8" w:rsidRPr="007947F8">
        <w:rPr>
          <w:rFonts w:eastAsia="Times New Roman"/>
          <w:color w:val="000000"/>
          <w:kern w:val="0"/>
          <w:sz w:val="32"/>
          <w:szCs w:val="32"/>
          <w:lang w:eastAsia="en-US"/>
        </w:rPr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:rsidR="00A653E6" w:rsidRDefault="00A653E6" w:rsidP="009341F0">
      <w:pPr>
        <w:jc w:val="both"/>
      </w:pPr>
    </w:p>
    <w:p w:rsidR="002A1B95" w:rsidRDefault="002A1B95" w:rsidP="009341F0">
      <w:pPr>
        <w:jc w:val="both"/>
        <w:rPr>
          <w:b/>
        </w:rPr>
        <w:sectPr w:rsidR="002A1B95" w:rsidSect="00A95509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F046F" w:rsidRDefault="00BF046F" w:rsidP="00BF046F">
      <w:pPr>
        <w:pStyle w:val="Heading2"/>
      </w:pPr>
      <w:r w:rsidRPr="003B4D66">
        <w:lastRenderedPageBreak/>
        <w:t>Co-Teaching Approach</w:t>
      </w:r>
      <w:r>
        <w:t xml:space="preserve">es </w:t>
      </w:r>
    </w:p>
    <w:p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7947F8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7947F8">
        <w:t xml:space="preserve">n </w:t>
      </w:r>
      <w:r>
        <w:t>“(N)”</w:t>
      </w:r>
      <w:r w:rsidR="007947F8">
        <w:t xml:space="preserve"> </w:t>
      </w:r>
      <w:r>
        <w:t>in front of the following list items indicates the approach is not outlined in the lesson.</w:t>
      </w:r>
    </w:p>
    <w:p w:rsidR="00BF046F" w:rsidRDefault="00BF046F" w:rsidP="00BF046F">
      <w:pPr>
        <w:sectPr w:rsidR="00BF046F" w:rsidSect="00A9550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F046F" w:rsidRPr="003B4D66" w:rsidRDefault="00BF046F" w:rsidP="00BF046F">
      <w:pPr>
        <w:pStyle w:val="ListParagraph"/>
        <w:numPr>
          <w:ilvl w:val="0"/>
          <w:numId w:val="8"/>
        </w:numPr>
      </w:pPr>
      <w:r>
        <w:lastRenderedPageBreak/>
        <w:t xml:space="preserve">(Y) </w:t>
      </w:r>
      <w:r w:rsidRPr="003B4D66">
        <w:t>Parallel Teach</w:t>
      </w:r>
      <w:r>
        <w:t>ing</w:t>
      </w:r>
    </w:p>
    <w:p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>(Y) Team Teaching</w:t>
      </w:r>
    </w:p>
    <w:p w:rsidR="00BF046F" w:rsidRPr="00BA4F2C" w:rsidRDefault="00D50FB1" w:rsidP="00BF046F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(Y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:rsidR="00BF046F" w:rsidRPr="003B4D66" w:rsidRDefault="00395C7D" w:rsidP="00BF046F">
      <w:pPr>
        <w:pStyle w:val="ListParagraph"/>
        <w:numPr>
          <w:ilvl w:val="0"/>
          <w:numId w:val="8"/>
        </w:numPr>
      </w:pPr>
      <w:r>
        <w:t>(Y</w:t>
      </w:r>
      <w:r w:rsidR="00BF046F">
        <w:t>) One Teach/One Observe</w:t>
      </w:r>
    </w:p>
    <w:p w:rsidR="00BF046F" w:rsidRDefault="00BF046F" w:rsidP="00BF046F">
      <w:pPr>
        <w:pStyle w:val="ListParagraph"/>
        <w:numPr>
          <w:ilvl w:val="0"/>
          <w:numId w:val="8"/>
        </w:numPr>
      </w:pPr>
      <w:r>
        <w:lastRenderedPageBreak/>
        <w:t>(</w:t>
      </w:r>
      <w:r w:rsidR="000A55A3">
        <w:t>Y</w:t>
      </w:r>
      <w:r>
        <w:t xml:space="preserve">) </w:t>
      </w:r>
      <w:r w:rsidRPr="003B4D66">
        <w:t>Alternative Teach</w:t>
      </w:r>
      <w:r>
        <w:t>ing</w:t>
      </w:r>
    </w:p>
    <w:p w:rsidR="00B8319C" w:rsidRDefault="00BF046F" w:rsidP="00BF046F">
      <w:pPr>
        <w:pStyle w:val="ListParagraph"/>
        <w:numPr>
          <w:ilvl w:val="0"/>
          <w:numId w:val="8"/>
        </w:numPr>
        <w:sectPr w:rsidR="00B8319C" w:rsidSect="00B8319C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2880" w:space="720"/>
            <w:col w:w="3312" w:space="720"/>
            <w:col w:w="5328"/>
          </w:cols>
          <w:noEndnote/>
          <w:docGrid w:linePitch="326"/>
        </w:sectPr>
      </w:pPr>
      <w:r>
        <w:t xml:space="preserve">(Y) </w:t>
      </w:r>
      <w:r w:rsidRPr="003B4D66">
        <w:t>One Teach</w:t>
      </w:r>
      <w:r>
        <w:t>/One Assist</w:t>
      </w:r>
      <w:r w:rsidRPr="003B4D66">
        <w:t xml:space="preserve"> </w:t>
      </w:r>
    </w:p>
    <w:p w:rsidR="00354FC9" w:rsidRPr="00A058B4" w:rsidRDefault="00E3045B" w:rsidP="00A95509">
      <w:pPr>
        <w:pStyle w:val="Heading2"/>
        <w:spacing w:before="240"/>
      </w:pPr>
      <w:r w:rsidRPr="00A058B4">
        <w:lastRenderedPageBreak/>
        <w:t>Subject</w:t>
      </w:r>
    </w:p>
    <w:p w:rsidR="00E3045B" w:rsidRPr="003B4D66" w:rsidRDefault="002E60CE" w:rsidP="00354FC9">
      <w:r>
        <w:t>Scientific notation</w:t>
      </w:r>
    </w:p>
    <w:p w:rsidR="002562B6" w:rsidRPr="00A058B4" w:rsidRDefault="002562B6" w:rsidP="00A95509">
      <w:pPr>
        <w:pStyle w:val="Heading2"/>
        <w:spacing w:before="240"/>
      </w:pPr>
      <w:r>
        <w:t>Strand</w:t>
      </w:r>
    </w:p>
    <w:p w:rsidR="002562B6" w:rsidRPr="003B4D66" w:rsidRDefault="002E60CE" w:rsidP="002562B6">
      <w:r>
        <w:t>Expressions and Operations</w:t>
      </w:r>
    </w:p>
    <w:p w:rsidR="00354FC9" w:rsidRDefault="00354FC9" w:rsidP="00A95509">
      <w:pPr>
        <w:pStyle w:val="Heading2"/>
        <w:spacing w:before="240"/>
      </w:pPr>
      <w:r>
        <w:t>Topic</w:t>
      </w:r>
    </w:p>
    <w:p w:rsidR="00E3045B" w:rsidRPr="003B4D66" w:rsidRDefault="002E60CE" w:rsidP="00354FC9">
      <w:r>
        <w:t>Working with scientific notation</w:t>
      </w:r>
    </w:p>
    <w:p w:rsidR="00354FC9" w:rsidRDefault="00354FC9" w:rsidP="00A95509">
      <w:pPr>
        <w:pStyle w:val="Heading2"/>
        <w:spacing w:before="240"/>
      </w:pPr>
      <w:r>
        <w:t>S</w:t>
      </w:r>
      <w:r w:rsidR="00B8319C">
        <w:t>OL</w:t>
      </w:r>
    </w:p>
    <w:p w:rsidR="00B8319C" w:rsidRDefault="002E60CE">
      <w:r>
        <w:t>A.2</w:t>
      </w:r>
      <w:r w:rsidR="00B8319C">
        <w:tab/>
      </w:r>
      <w:r>
        <w:t xml:space="preserve">The student will </w:t>
      </w:r>
      <w:r w:rsidR="00B8319C">
        <w:t>perform operations on polynomials,</w:t>
      </w:r>
      <w:r w:rsidR="00B8319C" w:rsidRPr="00B8319C">
        <w:t xml:space="preserve"> </w:t>
      </w:r>
      <w:r w:rsidR="00B8319C">
        <w:t>including</w:t>
      </w:r>
    </w:p>
    <w:p w:rsidR="00E3045B" w:rsidRDefault="00B8319C" w:rsidP="00A95509">
      <w:pPr>
        <w:tabs>
          <w:tab w:val="left" w:pos="1080"/>
        </w:tabs>
        <w:ind w:firstLine="720"/>
      </w:pPr>
      <w:r>
        <w:t>a)</w:t>
      </w:r>
      <w:r>
        <w:tab/>
      </w:r>
      <w:r w:rsidR="002E60CE">
        <w:t xml:space="preserve"> </w:t>
      </w:r>
      <w:proofErr w:type="gramStart"/>
      <w:r w:rsidR="002E60CE">
        <w:t>applying</w:t>
      </w:r>
      <w:proofErr w:type="gramEnd"/>
      <w:r w:rsidR="002E60CE">
        <w:t xml:space="preserve"> the laws of exponents to perform operations on expressions.</w:t>
      </w:r>
    </w:p>
    <w:p w:rsidR="002E60CE" w:rsidRPr="003B4D66" w:rsidRDefault="002E60CE" w:rsidP="00A95509">
      <w:pPr>
        <w:ind w:firstLine="720"/>
      </w:pPr>
      <w:r>
        <w:t>(Related: A.1)</w:t>
      </w:r>
    </w:p>
    <w:p w:rsidR="00354FC9" w:rsidRDefault="00354FC9" w:rsidP="00A95509">
      <w:pPr>
        <w:pStyle w:val="Heading2"/>
        <w:spacing w:before="240"/>
      </w:pPr>
      <w:r>
        <w:t>Outcomes</w:t>
      </w:r>
    </w:p>
    <w:p w:rsidR="00E3045B" w:rsidRPr="003B4D66" w:rsidRDefault="002E60CE" w:rsidP="00354FC9">
      <w:pPr>
        <w:tabs>
          <w:tab w:val="left" w:pos="270"/>
        </w:tabs>
      </w:pPr>
      <w:r>
        <w:t xml:space="preserve">Students will </w:t>
      </w:r>
      <w:r w:rsidR="00FA6CF2">
        <w:t xml:space="preserve">apply the laws of exponents to interpret scientific notation. </w:t>
      </w:r>
    </w:p>
    <w:p w:rsidR="00271DEA" w:rsidRDefault="00354FC9" w:rsidP="00A95509">
      <w:pPr>
        <w:pStyle w:val="Heading2"/>
        <w:spacing w:before="240"/>
      </w:pPr>
      <w:r>
        <w:t xml:space="preserve">Materials </w:t>
      </w:r>
    </w:p>
    <w:p w:rsidR="00FA6CF2" w:rsidRDefault="00E30B24" w:rsidP="00B67FBF">
      <w:pPr>
        <w:pStyle w:val="ListParagraph"/>
        <w:widowControl/>
        <w:numPr>
          <w:ilvl w:val="0"/>
          <w:numId w:val="2"/>
        </w:numPr>
        <w:spacing w:line="276" w:lineRule="auto"/>
      </w:pPr>
      <w:r w:rsidRPr="00A95509">
        <w:t>Fram</w:t>
      </w:r>
      <w:r>
        <w:t>e</w:t>
      </w:r>
      <w:r w:rsidRPr="00A95509">
        <w:t xml:space="preserve"> </w:t>
      </w:r>
      <w:r>
        <w:t xml:space="preserve">Diagram </w:t>
      </w:r>
      <w:r w:rsidR="00FA6CF2">
        <w:t>(attached)</w:t>
      </w:r>
    </w:p>
    <w:p w:rsidR="00392B1F" w:rsidRDefault="00392B1F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Frame Diagram (sample, attached)</w:t>
      </w:r>
    </w:p>
    <w:p w:rsidR="00392B1F" w:rsidRDefault="00392B1F" w:rsidP="00392B1F">
      <w:pPr>
        <w:pStyle w:val="ListParagraph"/>
        <w:widowControl/>
        <w:numPr>
          <w:ilvl w:val="0"/>
          <w:numId w:val="2"/>
        </w:numPr>
        <w:spacing w:line="276" w:lineRule="auto"/>
      </w:pPr>
      <w:r>
        <w:t>Scientifically Speaking activity sheet (attached)</w:t>
      </w:r>
    </w:p>
    <w:p w:rsidR="00354FC9" w:rsidRDefault="00E3045B" w:rsidP="00A95509">
      <w:pPr>
        <w:pStyle w:val="Heading2"/>
        <w:spacing w:before="240"/>
      </w:pPr>
      <w:r w:rsidRPr="003B4D66">
        <w:lastRenderedPageBreak/>
        <w:t>Vocab</w:t>
      </w:r>
      <w:r w:rsidR="00354FC9">
        <w:t>ulary</w:t>
      </w:r>
    </w:p>
    <w:p w:rsidR="001451D0" w:rsidRDefault="001451D0" w:rsidP="00716943">
      <w:pPr>
        <w:pStyle w:val="ListParagraph"/>
        <w:numPr>
          <w:ilvl w:val="0"/>
          <w:numId w:val="9"/>
        </w:numPr>
        <w:sectPr w:rsidR="001451D0" w:rsidSect="00A9550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8319C" w:rsidRPr="00A95509" w:rsidRDefault="00B8319C" w:rsidP="00B8319C">
      <w:pPr>
        <w:pStyle w:val="ListParagraph"/>
        <w:widowControl/>
        <w:spacing w:line="276" w:lineRule="auto"/>
        <w:ind w:left="360"/>
        <w:rPr>
          <w:i/>
        </w:rPr>
      </w:pPr>
      <w:proofErr w:type="gramStart"/>
      <w:r w:rsidRPr="00A95509">
        <w:rPr>
          <w:i/>
        </w:rPr>
        <w:lastRenderedPageBreak/>
        <w:t>base</w:t>
      </w:r>
      <w:proofErr w:type="gramEnd"/>
      <w:r w:rsidRPr="00A95509">
        <w:rPr>
          <w:i/>
        </w:rPr>
        <w:t>, exponent, power, scientific notation</w:t>
      </w:r>
    </w:p>
    <w:p w:rsidR="001451D0" w:rsidRPr="00720A4E" w:rsidRDefault="001451D0" w:rsidP="001451D0"/>
    <w:p w:rsidR="00B67FBF" w:rsidRPr="00720A4E" w:rsidRDefault="00B67FBF" w:rsidP="001451D0">
      <w:pPr>
        <w:rPr>
          <w:sz w:val="28"/>
          <w:szCs w:val="28"/>
        </w:rPr>
        <w:sectPr w:rsidR="00B67FBF" w:rsidRPr="00720A4E" w:rsidSect="00A9550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867493" w:rsidRDefault="00720A4E" w:rsidP="00A95509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2420" w:type="dxa"/>
        <w:tblInd w:w="265" w:type="dxa"/>
        <w:tblLayout w:type="fixed"/>
        <w:tblLook w:val="04A0" w:firstRow="1" w:lastRow="0" w:firstColumn="1" w:lastColumn="0" w:noHBand="0" w:noVBand="1"/>
        <w:tblCaption w:val="Co-Teaching Lesson Plan Table"/>
        <w:tblDescription w:val="This table describes the regular educator's and the special educator's roles in the activities in this lesson plan."/>
      </w:tblPr>
      <w:tblGrid>
        <w:gridCol w:w="1823"/>
        <w:gridCol w:w="2340"/>
        <w:gridCol w:w="4320"/>
        <w:gridCol w:w="3937"/>
      </w:tblGrid>
      <w:tr w:rsidR="00FF546C" w:rsidTr="00A95509">
        <w:trPr>
          <w:tblHeader/>
        </w:trPr>
        <w:tc>
          <w:tcPr>
            <w:tcW w:w="1823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:rsidR="00FF546C" w:rsidRPr="00FF546C" w:rsidRDefault="001451D0" w:rsidP="00A95509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3937" w:type="dxa"/>
          </w:tcPr>
          <w:p w:rsidR="00FF546C" w:rsidRPr="00FF546C" w:rsidRDefault="001451D0" w:rsidP="00A95509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:rsidTr="00A95509">
        <w:tc>
          <w:tcPr>
            <w:tcW w:w="1823" w:type="dxa"/>
          </w:tcPr>
          <w:p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:rsidR="002645C4" w:rsidRPr="009065CE" w:rsidRDefault="001049DC" w:rsidP="007C26A5">
            <w:r>
              <w:t>Team Teaching</w:t>
            </w:r>
            <w:r w:rsidR="002645C4">
              <w:t xml:space="preserve"> </w:t>
            </w:r>
          </w:p>
        </w:tc>
        <w:tc>
          <w:tcPr>
            <w:tcW w:w="4320" w:type="dxa"/>
          </w:tcPr>
          <w:p w:rsidR="002530C6" w:rsidRDefault="000202A9" w:rsidP="00A95509">
            <w:pPr>
              <w:spacing w:after="120"/>
            </w:pPr>
            <w:r>
              <w:t xml:space="preserve">GE uses the </w:t>
            </w:r>
            <w:r w:rsidRPr="00A95509">
              <w:t>Frame Diagram</w:t>
            </w:r>
            <w:r w:rsidR="002530C6">
              <w:t xml:space="preserve"> to</w:t>
            </w:r>
            <w:r>
              <w:rPr>
                <w:i/>
              </w:rPr>
              <w:t xml:space="preserve"> </w:t>
            </w:r>
            <w:r w:rsidR="001049DC">
              <w:t>review prior knowledge (exponent rules)</w:t>
            </w:r>
            <w:r>
              <w:t>.</w:t>
            </w:r>
            <w:r w:rsidR="001049DC">
              <w:t xml:space="preserve"> This review may be set up as a cut and paste activity where the students are provided with a blank frame and each individual component.  </w:t>
            </w:r>
          </w:p>
          <w:p w:rsidR="002645C4" w:rsidRPr="0030291A" w:rsidRDefault="001049DC" w:rsidP="00A95509">
            <w:pPr>
              <w:spacing w:after="120"/>
            </w:pPr>
            <w:r>
              <w:t>Once students have had time to cut and paste, teachers will facilitate a discussion about the exponent rules and the frame.</w:t>
            </w:r>
          </w:p>
        </w:tc>
        <w:tc>
          <w:tcPr>
            <w:tcW w:w="3937" w:type="dxa"/>
          </w:tcPr>
          <w:p w:rsidR="002645C4" w:rsidRPr="003B4D66" w:rsidRDefault="001049DC" w:rsidP="00A95509">
            <w:pPr>
              <w:spacing w:after="120"/>
            </w:pPr>
            <w:r>
              <w:t>S</w:t>
            </w:r>
            <w:r w:rsidR="002530C6">
              <w:t>E s</w:t>
            </w:r>
            <w:r>
              <w:t>ame as GE.</w:t>
            </w:r>
          </w:p>
          <w:p w:rsidR="002645C4" w:rsidRPr="00E40032" w:rsidRDefault="002645C4" w:rsidP="00A9550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45C4" w:rsidTr="00A95509">
        <w:tc>
          <w:tcPr>
            <w:tcW w:w="1823" w:type="dxa"/>
          </w:tcPr>
          <w:p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:rsidR="002645C4" w:rsidRPr="00885417" w:rsidRDefault="001049DC">
            <w:r>
              <w:t>One teach/</w:t>
            </w:r>
            <w:r w:rsidR="002530C6">
              <w:t xml:space="preserve">One </w:t>
            </w:r>
            <w:r>
              <w:t>assist</w:t>
            </w:r>
          </w:p>
        </w:tc>
        <w:tc>
          <w:tcPr>
            <w:tcW w:w="4320" w:type="dxa"/>
          </w:tcPr>
          <w:p w:rsidR="002645C4" w:rsidRDefault="002530C6" w:rsidP="00A95509">
            <w:pPr>
              <w:spacing w:after="120"/>
            </w:pPr>
            <w:r>
              <w:t xml:space="preserve">GE monitors </w:t>
            </w:r>
            <w:r w:rsidR="001049DC">
              <w:t>student progress.</w:t>
            </w:r>
          </w:p>
          <w:p w:rsidR="002530C6" w:rsidRDefault="002530C6" w:rsidP="00A95509">
            <w:pPr>
              <w:spacing w:after="120"/>
            </w:pPr>
            <w:r w:rsidRPr="00A95509">
              <w:rPr>
                <w:b/>
              </w:rPr>
              <w:t>Question</w:t>
            </w:r>
          </w:p>
          <w:p w:rsidR="001049DC" w:rsidRDefault="001049DC" w:rsidP="00A95509">
            <w:pPr>
              <w:spacing w:after="120"/>
            </w:pPr>
            <w:r>
              <w:t>The mass of the sun is 1.98x10</w:t>
            </w:r>
            <w:r>
              <w:rPr>
                <w:vertAlign w:val="superscript"/>
              </w:rPr>
              <w:t>30</w:t>
            </w:r>
            <w:r>
              <w:t xml:space="preserve"> kg.  Why do you think this is written in scientific notation? </w:t>
            </w:r>
          </w:p>
          <w:p w:rsidR="001049DC" w:rsidRPr="001049DC" w:rsidRDefault="002530C6" w:rsidP="00A95509">
            <w:pPr>
              <w:spacing w:after="120"/>
            </w:pPr>
            <w:r>
              <w:t>GE m</w:t>
            </w:r>
            <w:r w:rsidR="00B9035E">
              <w:t>onitor</w:t>
            </w:r>
            <w:r>
              <w:t>s</w:t>
            </w:r>
            <w:r w:rsidR="00B9035E">
              <w:t xml:space="preserve"> students and ask</w:t>
            </w:r>
            <w:r>
              <w:t>s</w:t>
            </w:r>
            <w:r w:rsidR="00B9035E">
              <w:t xml:space="preserve"> leading questions during </w:t>
            </w:r>
            <w:r>
              <w:t xml:space="preserve">the </w:t>
            </w:r>
            <w:r w:rsidR="00B9035E">
              <w:t>discussion.</w:t>
            </w:r>
          </w:p>
        </w:tc>
        <w:tc>
          <w:tcPr>
            <w:tcW w:w="3937" w:type="dxa"/>
          </w:tcPr>
          <w:p w:rsidR="002645C4" w:rsidRDefault="001049DC" w:rsidP="00A95509">
            <w:pPr>
              <w:spacing w:after="120"/>
            </w:pPr>
            <w:r>
              <w:t>Students will evaluate a number written in scientific notation.  (5.43x10</w:t>
            </w:r>
            <w:r>
              <w:rPr>
                <w:vertAlign w:val="superscript"/>
              </w:rPr>
              <w:t>5</w:t>
            </w:r>
            <w:r>
              <w:t xml:space="preserve">) </w:t>
            </w:r>
          </w:p>
          <w:p w:rsidR="001049DC" w:rsidRDefault="002530C6" w:rsidP="00A95509">
            <w:pPr>
              <w:spacing w:after="120"/>
            </w:pPr>
            <w:r>
              <w:t xml:space="preserve">SE </w:t>
            </w:r>
            <w:r w:rsidR="001049DC">
              <w:t>change</w:t>
            </w:r>
            <w:r>
              <w:t>s</w:t>
            </w:r>
            <w:r w:rsidR="001049DC">
              <w:t xml:space="preserve"> the exponent to a negative number and </w:t>
            </w:r>
            <w:r>
              <w:t xml:space="preserve">students </w:t>
            </w:r>
            <w:r w:rsidR="001049DC">
              <w:t>evaluate the new number. (5.43x10</w:t>
            </w:r>
            <w:r w:rsidR="001049DC">
              <w:rPr>
                <w:vertAlign w:val="superscript"/>
              </w:rPr>
              <w:t>-5</w:t>
            </w:r>
            <w:r w:rsidR="001049DC">
              <w:t>)</w:t>
            </w:r>
          </w:p>
          <w:p w:rsidR="001049DC" w:rsidRDefault="002530C6" w:rsidP="00A95509">
            <w:pPr>
              <w:spacing w:after="120"/>
            </w:pPr>
            <w:r>
              <w:t>SE a</w:t>
            </w:r>
            <w:r w:rsidR="001049DC">
              <w:t>sk</w:t>
            </w:r>
            <w:r>
              <w:t>s</w:t>
            </w:r>
            <w:r w:rsidR="001049DC">
              <w:t xml:space="preserve"> students to explain what change</w:t>
            </w:r>
            <w:r>
              <w:t>s</w:t>
            </w:r>
            <w:r w:rsidR="001049DC">
              <w:t>.</w:t>
            </w:r>
          </w:p>
          <w:p w:rsidR="001049DC" w:rsidRDefault="002530C6" w:rsidP="00A95509">
            <w:pPr>
              <w:spacing w:after="120"/>
            </w:pPr>
            <w:r>
              <w:t>SE m</w:t>
            </w:r>
            <w:r w:rsidR="001049DC">
              <w:t>onitor</w:t>
            </w:r>
            <w:r>
              <w:t>s</w:t>
            </w:r>
            <w:r w:rsidR="001049DC">
              <w:t xml:space="preserve"> student progress and ask</w:t>
            </w:r>
            <w:r>
              <w:t>s</w:t>
            </w:r>
            <w:r w:rsidR="001049DC">
              <w:t xml:space="preserve"> leading questions during </w:t>
            </w:r>
            <w:r>
              <w:t xml:space="preserve">the </w:t>
            </w:r>
            <w:r w:rsidR="001049DC">
              <w:t>discussion.</w:t>
            </w:r>
          </w:p>
          <w:p w:rsidR="001049DC" w:rsidRPr="00A95509" w:rsidRDefault="002530C6" w:rsidP="00A95509">
            <w:pPr>
              <w:spacing w:after="120"/>
              <w:rPr>
                <w:b/>
              </w:rPr>
            </w:pPr>
            <w:r w:rsidRPr="00A95509">
              <w:rPr>
                <w:b/>
              </w:rPr>
              <w:t>Question</w:t>
            </w:r>
          </w:p>
          <w:p w:rsidR="00B9035E" w:rsidRDefault="001049DC" w:rsidP="00A95509">
            <w:pPr>
              <w:spacing w:after="120"/>
            </w:pPr>
            <w:r>
              <w:t xml:space="preserve">The distance from the sun to Earth is </w:t>
            </w:r>
            <w:r w:rsidR="00B9035E">
              <w:t>1.5x10</w:t>
            </w:r>
            <w:r w:rsidR="00B9035E">
              <w:rPr>
                <w:vertAlign w:val="superscript"/>
              </w:rPr>
              <w:t>8</w:t>
            </w:r>
            <w:r w:rsidR="00B9035E">
              <w:t xml:space="preserve"> km. The distance from Earth to Jupiter is 5.95x10</w:t>
            </w:r>
            <w:r w:rsidR="00B9035E">
              <w:rPr>
                <w:vertAlign w:val="superscript"/>
              </w:rPr>
              <w:t>8</w:t>
            </w:r>
            <w:r w:rsidR="00B9035E">
              <w:t xml:space="preserve">km. How far is </w:t>
            </w:r>
            <w:r w:rsidR="00B9035E">
              <w:lastRenderedPageBreak/>
              <w:t>Jupiter from the sun?</w:t>
            </w:r>
          </w:p>
          <w:p w:rsidR="00B9035E" w:rsidRPr="00B9035E" w:rsidRDefault="002530C6" w:rsidP="00A95509">
            <w:pPr>
              <w:spacing w:after="120"/>
            </w:pPr>
            <w:r>
              <w:t xml:space="preserve">SE leads discussion on </w:t>
            </w:r>
            <w:r w:rsidR="00B9035E">
              <w:t>how we can use the exponent rules we already know to solve the problem.</w:t>
            </w:r>
          </w:p>
        </w:tc>
      </w:tr>
      <w:tr w:rsidR="00FF546C" w:rsidTr="00A95509">
        <w:tc>
          <w:tcPr>
            <w:tcW w:w="182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Guided/Independent Practice</w:t>
            </w:r>
          </w:p>
        </w:tc>
        <w:tc>
          <w:tcPr>
            <w:tcW w:w="2340" w:type="dxa"/>
          </w:tcPr>
          <w:p w:rsidR="00FF546C" w:rsidRPr="00885417" w:rsidRDefault="00B9035E" w:rsidP="009065CE">
            <w:r>
              <w:t>Parallel Teaching</w:t>
            </w:r>
          </w:p>
        </w:tc>
        <w:tc>
          <w:tcPr>
            <w:tcW w:w="4320" w:type="dxa"/>
          </w:tcPr>
          <w:p w:rsidR="00FF546C" w:rsidRPr="009065CE" w:rsidRDefault="002530C6" w:rsidP="00A95509">
            <w:pPr>
              <w:spacing w:after="120"/>
            </w:pPr>
            <w:r>
              <w:t xml:space="preserve">GE distributes </w:t>
            </w:r>
            <w:r w:rsidR="00B9035E">
              <w:t xml:space="preserve">copies of the Scientifically Speaking activity sheet and </w:t>
            </w:r>
            <w:r>
              <w:t xml:space="preserve">has </w:t>
            </w:r>
            <w:r w:rsidR="00B9035E">
              <w:t xml:space="preserve">students complete it.  </w:t>
            </w:r>
          </w:p>
        </w:tc>
        <w:tc>
          <w:tcPr>
            <w:tcW w:w="3937" w:type="dxa"/>
          </w:tcPr>
          <w:p w:rsidR="00FF546C" w:rsidRPr="009065CE" w:rsidRDefault="002530C6" w:rsidP="00A95509">
            <w:pPr>
              <w:spacing w:after="120"/>
            </w:pPr>
            <w:r>
              <w:t xml:space="preserve">SE distributes </w:t>
            </w:r>
            <w:r w:rsidR="00B9035E">
              <w:t xml:space="preserve">copies of the Scientifically Speaking activity sheet and </w:t>
            </w:r>
            <w:r>
              <w:t xml:space="preserve">has </w:t>
            </w:r>
            <w:r w:rsidR="00B9035E">
              <w:t xml:space="preserve">students complete it.  </w:t>
            </w:r>
          </w:p>
        </w:tc>
      </w:tr>
      <w:tr w:rsidR="00FF546C" w:rsidTr="00A95509">
        <w:trPr>
          <w:trHeight w:val="3158"/>
        </w:trPr>
        <w:tc>
          <w:tcPr>
            <w:tcW w:w="182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:rsidR="00FF546C" w:rsidRPr="00885417" w:rsidRDefault="00B9035E" w:rsidP="009065CE">
            <w:r>
              <w:t>Team Teaching</w:t>
            </w:r>
          </w:p>
        </w:tc>
        <w:tc>
          <w:tcPr>
            <w:tcW w:w="4320" w:type="dxa"/>
          </w:tcPr>
          <w:p w:rsidR="002530C6" w:rsidRDefault="002530C6" w:rsidP="00A95509">
            <w:pPr>
              <w:spacing w:after="120"/>
            </w:pPr>
            <w:r>
              <w:t xml:space="preserve">GE summarizes </w:t>
            </w:r>
            <w:r w:rsidR="00B9035E">
              <w:t xml:space="preserve">the lesson by having students discuss how they used the laws of exponents to find solutions to the problems. </w:t>
            </w:r>
            <w:r>
              <w:t>GE a</w:t>
            </w:r>
            <w:r w:rsidR="00B9035E">
              <w:t>sk</w:t>
            </w:r>
            <w:r>
              <w:t>s</w:t>
            </w:r>
            <w:r w:rsidR="00B9035E">
              <w:t xml:space="preserve"> students what they would have done if they had not known the laws of exponents. </w:t>
            </w:r>
          </w:p>
          <w:p w:rsidR="002530C6" w:rsidRDefault="002530C6" w:rsidP="00A95509">
            <w:pPr>
              <w:spacing w:after="120"/>
            </w:pPr>
            <w:r>
              <w:t>Question</w:t>
            </w:r>
          </w:p>
          <w:p w:rsidR="002530C6" w:rsidRDefault="00B9035E" w:rsidP="00A95509">
            <w:pPr>
              <w:numPr>
                <w:ilvl w:val="0"/>
                <w:numId w:val="9"/>
              </w:numPr>
              <w:spacing w:after="120"/>
            </w:pPr>
            <w:r>
              <w:t xml:space="preserve">Did knowing the laws or rules of exponents make it easier? Why? </w:t>
            </w:r>
          </w:p>
          <w:p w:rsidR="00FF546C" w:rsidRPr="009065CE" w:rsidRDefault="00B9035E" w:rsidP="00A95509">
            <w:pPr>
              <w:numPr>
                <w:ilvl w:val="0"/>
                <w:numId w:val="9"/>
              </w:numPr>
              <w:spacing w:after="120"/>
            </w:pPr>
            <w:r>
              <w:t>Would scientific notation be as beneficial if you didn’t know the laws of exponents? Why, or why not?</w:t>
            </w:r>
          </w:p>
        </w:tc>
        <w:tc>
          <w:tcPr>
            <w:tcW w:w="3937" w:type="dxa"/>
          </w:tcPr>
          <w:p w:rsidR="00351F39" w:rsidRPr="009065CE" w:rsidRDefault="00B9035E" w:rsidP="00A95509">
            <w:pPr>
              <w:spacing w:after="120"/>
            </w:pPr>
            <w:r>
              <w:t>S</w:t>
            </w:r>
            <w:r w:rsidR="002530C6">
              <w:t>E s</w:t>
            </w:r>
            <w:r>
              <w:t>ame as GE.</w:t>
            </w:r>
          </w:p>
          <w:p w:rsidR="00FF546C" w:rsidRPr="00500BAA" w:rsidRDefault="00FF546C" w:rsidP="00A9550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F546C" w:rsidTr="00A95509">
        <w:tc>
          <w:tcPr>
            <w:tcW w:w="182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:rsidR="00F948BF" w:rsidRPr="009065CE" w:rsidRDefault="00B9035E" w:rsidP="00F948BF">
            <w:r>
              <w:t>Team Teaching</w:t>
            </w:r>
          </w:p>
        </w:tc>
        <w:tc>
          <w:tcPr>
            <w:tcW w:w="4320" w:type="dxa"/>
          </w:tcPr>
          <w:p w:rsidR="008E0A7B" w:rsidRDefault="008E0A7B" w:rsidP="00A95509">
            <w:pPr>
              <w:spacing w:after="120"/>
            </w:pPr>
            <w:r>
              <w:t>GE gives e</w:t>
            </w:r>
            <w:r w:rsidR="00B9035E">
              <w:t xml:space="preserve">xit </w:t>
            </w:r>
            <w:r>
              <w:t>s</w:t>
            </w:r>
            <w:r w:rsidR="00B9035E">
              <w:t>lip</w:t>
            </w:r>
            <w:r>
              <w:t xml:space="preserve"> with the following question</w:t>
            </w:r>
            <w:r w:rsidR="0027347E">
              <w:t>s</w:t>
            </w:r>
            <w:r>
              <w:t>:</w:t>
            </w:r>
          </w:p>
          <w:p w:rsidR="00CF2234" w:rsidRDefault="00B9035E" w:rsidP="00A95509">
            <w:pPr>
              <w:numPr>
                <w:ilvl w:val="0"/>
                <w:numId w:val="23"/>
              </w:numPr>
              <w:spacing w:after="120"/>
            </w:pPr>
            <w:r>
              <w:t>How are the laws of exponents and scientific notation connected?</w:t>
            </w:r>
          </w:p>
          <w:p w:rsidR="00B9035E" w:rsidRPr="009065CE" w:rsidRDefault="00B9035E" w:rsidP="00A95509">
            <w:pPr>
              <w:numPr>
                <w:ilvl w:val="0"/>
                <w:numId w:val="23"/>
              </w:numPr>
              <w:spacing w:after="120"/>
            </w:pPr>
            <w:r>
              <w:t xml:space="preserve">How is </w:t>
            </w:r>
            <w:proofErr w:type="gramStart"/>
            <w:r>
              <w:t>knowing</w:t>
            </w:r>
            <w:proofErr w:type="gramEnd"/>
            <w:r>
              <w:t xml:space="preserve"> the laws of exponents helpful when operating with numbers in </w:t>
            </w:r>
            <w:r>
              <w:lastRenderedPageBreak/>
              <w:t>scientific notation?</w:t>
            </w:r>
          </w:p>
        </w:tc>
        <w:tc>
          <w:tcPr>
            <w:tcW w:w="3937" w:type="dxa"/>
          </w:tcPr>
          <w:p w:rsidR="00B9035E" w:rsidRPr="009065CE" w:rsidRDefault="00B9035E" w:rsidP="00A95509">
            <w:pPr>
              <w:spacing w:after="120"/>
            </w:pPr>
            <w:r>
              <w:lastRenderedPageBreak/>
              <w:t>S</w:t>
            </w:r>
            <w:r w:rsidR="008E0A7B">
              <w:t>E s</w:t>
            </w:r>
            <w:r>
              <w:t>ame as GE.</w:t>
            </w:r>
          </w:p>
          <w:p w:rsidR="00FF546C" w:rsidRPr="009065CE" w:rsidRDefault="00FF546C" w:rsidP="00A95509">
            <w:pPr>
              <w:spacing w:after="120"/>
            </w:pPr>
          </w:p>
        </w:tc>
      </w:tr>
      <w:tr w:rsidR="00F948BF" w:rsidTr="00A95509">
        <w:tc>
          <w:tcPr>
            <w:tcW w:w="1823" w:type="dxa"/>
          </w:tcPr>
          <w:p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lastRenderedPageBreak/>
              <w:t>Homework</w:t>
            </w:r>
          </w:p>
        </w:tc>
        <w:tc>
          <w:tcPr>
            <w:tcW w:w="2340" w:type="dxa"/>
          </w:tcPr>
          <w:p w:rsidR="00F948BF" w:rsidRDefault="00B9035E" w:rsidP="00FF546C">
            <w:r>
              <w:t>Team Teaching</w:t>
            </w:r>
          </w:p>
        </w:tc>
        <w:tc>
          <w:tcPr>
            <w:tcW w:w="4320" w:type="dxa"/>
          </w:tcPr>
          <w:p w:rsidR="0027347E" w:rsidRPr="00A95509" w:rsidRDefault="00B9035E" w:rsidP="00A95509">
            <w:pPr>
              <w:spacing w:after="120"/>
              <w:rPr>
                <w:b/>
              </w:rPr>
            </w:pPr>
            <w:r w:rsidRPr="00A95509">
              <w:rPr>
                <w:b/>
              </w:rPr>
              <w:t>Journaling</w:t>
            </w:r>
          </w:p>
          <w:p w:rsidR="00953FC7" w:rsidRDefault="00B9035E" w:rsidP="00A95509">
            <w:pPr>
              <w:spacing w:after="120"/>
            </w:pPr>
            <w:r>
              <w:t>Describe a situation in which you would not only use scientific notation</w:t>
            </w:r>
            <w:r w:rsidR="0027347E">
              <w:t>,</w:t>
            </w:r>
            <w:r>
              <w:t xml:space="preserve"> but also perform operations on numbers in scientific notation.</w:t>
            </w:r>
          </w:p>
          <w:p w:rsidR="00B9035E" w:rsidRDefault="0027347E" w:rsidP="00A95509">
            <w:pPr>
              <w:spacing w:after="120"/>
            </w:pPr>
            <w:r>
              <w:t xml:space="preserve">GE instructs </w:t>
            </w:r>
            <w:r w:rsidR="00020B38">
              <w:t xml:space="preserve">students </w:t>
            </w:r>
            <w:r>
              <w:t xml:space="preserve">to </w:t>
            </w:r>
            <w:r w:rsidR="00020B38">
              <w:t>find real-life examples of numbers that can be written in scientific notation and create their own problems with these numbers.</w:t>
            </w:r>
          </w:p>
        </w:tc>
        <w:tc>
          <w:tcPr>
            <w:tcW w:w="3937" w:type="dxa"/>
          </w:tcPr>
          <w:p w:rsidR="00B9035E" w:rsidRPr="009065CE" w:rsidRDefault="00B9035E" w:rsidP="00A95509">
            <w:pPr>
              <w:spacing w:after="120"/>
            </w:pPr>
            <w:r>
              <w:t>S</w:t>
            </w:r>
            <w:r w:rsidR="0027347E">
              <w:t>E s</w:t>
            </w:r>
            <w:r>
              <w:t>ame as GE.</w:t>
            </w:r>
          </w:p>
          <w:p w:rsidR="00F948BF" w:rsidRDefault="00F948BF" w:rsidP="00A95509">
            <w:pPr>
              <w:spacing w:after="120"/>
            </w:pPr>
          </w:p>
        </w:tc>
      </w:tr>
    </w:tbl>
    <w:p w:rsidR="00476E09" w:rsidRPr="00A058B4" w:rsidRDefault="00476E09" w:rsidP="00A95509">
      <w:pPr>
        <w:pStyle w:val="Heading2"/>
        <w:spacing w:before="240"/>
      </w:pPr>
      <w:r>
        <w:t>Specially Designed Instruction</w:t>
      </w:r>
    </w:p>
    <w:p w:rsidR="00020B38" w:rsidRDefault="00A95509" w:rsidP="00020B38">
      <w:pPr>
        <w:pStyle w:val="ListParagraph"/>
        <w:numPr>
          <w:ilvl w:val="0"/>
          <w:numId w:val="21"/>
        </w:numPr>
      </w:pPr>
      <w:r>
        <w:t>The teacher will use t</w:t>
      </w:r>
      <w:r w:rsidR="00020B38">
        <w:t xml:space="preserve">he </w:t>
      </w:r>
      <w:r w:rsidR="000307FE">
        <w:t>f</w:t>
      </w:r>
      <w:r w:rsidR="00020B38" w:rsidRPr="00A95509">
        <w:t xml:space="preserve">raming </w:t>
      </w:r>
      <w:r w:rsidR="000307FE">
        <w:t>r</w:t>
      </w:r>
      <w:r w:rsidR="000307FE" w:rsidRPr="00A95509">
        <w:t>outine</w:t>
      </w:r>
      <w:r>
        <w:rPr>
          <w:i/>
        </w:rPr>
        <w:t xml:space="preserve"> </w:t>
      </w:r>
      <w:r>
        <w:t>to help organize the concepts for the students</w:t>
      </w:r>
      <w:r w:rsidR="00020B38">
        <w:t>. This routine has the potential to assist students who are struggling because, as a review of prior knowledge, it allows students to revisit previous ideas and concepts.</w:t>
      </w:r>
    </w:p>
    <w:p w:rsidR="00476E09" w:rsidRPr="00A058B4" w:rsidRDefault="00476E09" w:rsidP="00A95509">
      <w:pPr>
        <w:pStyle w:val="Heading2"/>
        <w:spacing w:before="240"/>
      </w:pPr>
      <w:r>
        <w:t>Accommodations</w:t>
      </w:r>
    </w:p>
    <w:p w:rsidR="001A6459" w:rsidRDefault="00020B38" w:rsidP="001A6459">
      <w:pPr>
        <w:pStyle w:val="ListParagraph"/>
        <w:numPr>
          <w:ilvl w:val="0"/>
          <w:numId w:val="22"/>
        </w:numPr>
      </w:pPr>
      <w:r>
        <w:t>Read through the problems with students</w:t>
      </w:r>
      <w:r w:rsidR="000307FE">
        <w:t>. Have</w:t>
      </w:r>
      <w:r>
        <w:t xml:space="preserve"> them highlight important information and discuss which operations </w:t>
      </w:r>
      <w:r w:rsidR="000307FE">
        <w:t>to use</w:t>
      </w:r>
      <w:r>
        <w:t>.</w:t>
      </w:r>
    </w:p>
    <w:p w:rsidR="00020B38" w:rsidRDefault="00020B38" w:rsidP="001A6459">
      <w:pPr>
        <w:pStyle w:val="ListParagraph"/>
        <w:numPr>
          <w:ilvl w:val="0"/>
          <w:numId w:val="22"/>
        </w:numPr>
      </w:pPr>
      <w:r>
        <w:t>Allow students to use calculators to compute answers if they need support.</w:t>
      </w:r>
    </w:p>
    <w:p w:rsidR="00476E09" w:rsidRDefault="00476E09" w:rsidP="00A95509">
      <w:pPr>
        <w:pStyle w:val="Heading2"/>
        <w:spacing w:before="240"/>
      </w:pPr>
      <w:r>
        <w:t>Modifications</w:t>
      </w:r>
    </w:p>
    <w:p w:rsidR="001A6459" w:rsidRPr="00351F39" w:rsidRDefault="00A95509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For students requiring a modified curriculum, content can be focused on Scientific Notation or Writing numbers in exponential notation.</w:t>
      </w:r>
    </w:p>
    <w:p w:rsidR="00476E09" w:rsidRDefault="00476E09" w:rsidP="00A95509">
      <w:pPr>
        <w:pStyle w:val="Heading2"/>
        <w:spacing w:before="240"/>
      </w:pPr>
      <w:r>
        <w:t>Notes</w:t>
      </w:r>
    </w:p>
    <w:p w:rsidR="00A95509" w:rsidRDefault="00A95509" w:rsidP="00A95509">
      <w:pPr>
        <w:pStyle w:val="ListParagraph"/>
        <w:numPr>
          <w:ilvl w:val="0"/>
          <w:numId w:val="17"/>
        </w:numPr>
      </w:pPr>
      <w:r>
        <w:t>“</w:t>
      </w:r>
      <w:r w:rsidRPr="00CD2C60">
        <w:t xml:space="preserve">Special </w:t>
      </w:r>
      <w:r>
        <w:t>e</w:t>
      </w:r>
      <w:r w:rsidRPr="00CD2C60">
        <w:t>ducator</w:t>
      </w:r>
      <w:r>
        <w:t>”</w:t>
      </w:r>
      <w:r w:rsidRPr="00CD2C60">
        <w:t xml:space="preserve"> as noted in this lesson plan might be an EL </w:t>
      </w:r>
      <w:r>
        <w:t>t</w:t>
      </w:r>
      <w:r w:rsidRPr="00CD2C60">
        <w:t xml:space="preserve">eacher, </w:t>
      </w:r>
      <w:r>
        <w:t>s</w:t>
      </w:r>
      <w:r w:rsidRPr="00CD2C60">
        <w:t xml:space="preserve">peech </w:t>
      </w:r>
      <w:r>
        <w:t>p</w:t>
      </w:r>
      <w:r w:rsidRPr="00CD2C60">
        <w:t xml:space="preserve">athologist, or other specialist co-teaching with a </w:t>
      </w:r>
      <w:r>
        <w:t>g</w:t>
      </w:r>
      <w:r w:rsidRPr="00CD2C60">
        <w:t xml:space="preserve">eneral </w:t>
      </w:r>
      <w:r>
        <w:t>e</w:t>
      </w:r>
      <w:r w:rsidRPr="00CD2C60">
        <w:t>ducator</w:t>
      </w:r>
      <w:r>
        <w:t>.</w:t>
      </w:r>
    </w:p>
    <w:p w:rsidR="00A95509" w:rsidRDefault="00A95509" w:rsidP="00A95509">
      <w:pPr>
        <w:pStyle w:val="ListParagraph"/>
        <w:numPr>
          <w:ilvl w:val="0"/>
          <w:numId w:val="17"/>
        </w:numPr>
      </w:pPr>
      <w:r>
        <w:t xml:space="preserve">The co-teachers who developed this lesson plan received required professional development in the use of specialized instructional techniques which combine an explicit instructional routine with the co-construction of a visual device (graphic organizer).  The </w:t>
      </w:r>
      <w:r>
        <w:rPr>
          <w:i/>
        </w:rPr>
        <w:t>Framing R</w:t>
      </w:r>
      <w:r w:rsidRPr="000431C3">
        <w:rPr>
          <w:i/>
        </w:rPr>
        <w:t>outine</w:t>
      </w:r>
      <w:r>
        <w:t xml:space="preserve"> in conjunction with “The Frame” helps to develop understanding of information and procedures by associating their main ideas and details.  These Content Enhancement Routines were developed at the </w:t>
      </w:r>
      <w:hyperlink r:id="rId10" w:tgtFrame="_blank" w:history="1">
        <w:r w:rsidR="008C6494">
          <w:rPr>
            <w:bCs/>
            <w:color w:val="0000FF"/>
            <w:u w:val="single"/>
            <w:shd w:val="clear" w:color="auto" w:fill="FFFFFF"/>
          </w:rPr>
          <w:t xml:space="preserve">Center for Research on Learning at the </w:t>
        </w:r>
        <w:r w:rsidR="008C6494">
          <w:rPr>
            <w:bCs/>
            <w:color w:val="0000FF"/>
            <w:u w:val="single"/>
            <w:shd w:val="clear" w:color="auto" w:fill="FFFFFF"/>
          </w:rPr>
          <w:lastRenderedPageBreak/>
          <w:t>University of Kansas.</w:t>
        </w:r>
      </w:hyperlink>
    </w:p>
    <w:p w:rsidR="00A95509" w:rsidRDefault="00A95509" w:rsidP="00A95509">
      <w:pPr>
        <w:pStyle w:val="ListParagraph"/>
        <w:numPr>
          <w:ilvl w:val="0"/>
          <w:numId w:val="17"/>
        </w:numPr>
      </w:pPr>
      <w:r>
        <w:t xml:space="preserve">Other graphic organizers should be used by teachers who have not received professional development in the </w:t>
      </w:r>
      <w:r w:rsidRPr="000D6295">
        <w:rPr>
          <w:i/>
        </w:rPr>
        <w:t>Framing Routine</w:t>
      </w:r>
      <w:r>
        <w:t>.  If Virginia teachers would like to learn the Content Enhancement Routines, contact your regional TTAC.</w:t>
      </w:r>
    </w:p>
    <w:p w:rsidR="00A95509" w:rsidRPr="00BD274F" w:rsidRDefault="00A95509" w:rsidP="00A95509">
      <w:pPr>
        <w:widowControl/>
        <w:rPr>
          <w:rFonts w:eastAsia="Times New Roman"/>
          <w:color w:val="000000" w:themeColor="text1"/>
          <w:kern w:val="0"/>
          <w:lang w:eastAsia="en-US" w:bidi="en-US"/>
        </w:rPr>
      </w:pPr>
    </w:p>
    <w:p w:rsidR="00A95509" w:rsidRPr="000053FE" w:rsidRDefault="00A95509" w:rsidP="00A95509">
      <w:pPr>
        <w:widowControl/>
        <w:ind w:left="360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0053FE">
        <w:rPr>
          <w:rFonts w:cs="Calibri"/>
          <w:b/>
          <w:bCs/>
        </w:rPr>
        <w:t xml:space="preserve"> Note: The following pages are intended for classroom use for students as a visual aid to learning.</w:t>
      </w:r>
    </w:p>
    <w:p w:rsidR="00A95509" w:rsidRPr="00A95509" w:rsidRDefault="00A95509" w:rsidP="00A95509"/>
    <w:p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Education©201</w:t>
      </w:r>
      <w:r w:rsidR="00F83777">
        <w:rPr>
          <w:b w:val="0"/>
        </w:rPr>
        <w:t>8</w:t>
      </w:r>
      <w:r w:rsidR="009341F0" w:rsidRPr="00476E09">
        <w:rPr>
          <w:b w:val="0"/>
        </w:rPr>
        <w:br/>
      </w:r>
    </w:p>
    <w:p w:rsidR="002E60CE" w:rsidRDefault="002E60CE">
      <w:pPr>
        <w:widowControl/>
      </w:pPr>
      <w:r>
        <w:br w:type="page"/>
      </w:r>
    </w:p>
    <w:p w:rsidR="002E60CE" w:rsidRPr="00A95509" w:rsidRDefault="00D70086" w:rsidP="00A95509">
      <w:pPr>
        <w:widowControl/>
        <w:jc w:val="center"/>
        <w:rPr>
          <w:b/>
          <w:sz w:val="32"/>
          <w:szCs w:val="32"/>
        </w:rPr>
      </w:pPr>
      <w:r w:rsidRPr="00A95509">
        <w:rPr>
          <w:b/>
          <w:sz w:val="32"/>
          <w:szCs w:val="32"/>
        </w:rPr>
        <w:lastRenderedPageBreak/>
        <w:t>Frame Diagram</w:t>
      </w:r>
    </w:p>
    <w:p w:rsidR="00D70086" w:rsidRDefault="00D70086">
      <w:pPr>
        <w:widowControl/>
      </w:pPr>
    </w:p>
    <w:p w:rsidR="00D70086" w:rsidRDefault="00D70086" w:rsidP="00A95509">
      <w:pPr>
        <w:widowControl/>
        <w:jc w:val="center"/>
      </w:pPr>
      <w:r>
        <w:rPr>
          <w:noProof/>
          <w:lang w:eastAsia="en-US"/>
        </w:rPr>
        <w:drawing>
          <wp:inline distT="0" distB="0" distL="0" distR="0">
            <wp:extent cx="8512810" cy="4782820"/>
            <wp:effectExtent l="0" t="0" r="2540" b="0"/>
            <wp:docPr id="39" name="Picture 39" descr="the frame is used to organize key information during the lesson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81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86" w:rsidRDefault="00D70086" w:rsidP="00D70086">
      <w:pPr>
        <w:widowControl/>
        <w:jc w:val="center"/>
        <w:sectPr w:rsidR="00D70086" w:rsidSect="00CD2C60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</w:p>
    <w:p w:rsidR="00D70086" w:rsidRPr="00A95509" w:rsidRDefault="00D70086" w:rsidP="00A95509">
      <w:pPr>
        <w:widowControl/>
        <w:jc w:val="center"/>
        <w:rPr>
          <w:b/>
          <w:sz w:val="32"/>
          <w:szCs w:val="32"/>
        </w:rPr>
      </w:pPr>
      <w:r w:rsidRPr="00A95509">
        <w:rPr>
          <w:b/>
          <w:sz w:val="32"/>
          <w:szCs w:val="32"/>
        </w:rPr>
        <w:lastRenderedPageBreak/>
        <w:t>Frame Diagram (</w:t>
      </w:r>
      <w:r>
        <w:rPr>
          <w:b/>
          <w:sz w:val="32"/>
          <w:szCs w:val="32"/>
        </w:rPr>
        <w:t>sample</w:t>
      </w:r>
      <w:r w:rsidRPr="00A95509">
        <w:rPr>
          <w:b/>
          <w:sz w:val="32"/>
          <w:szCs w:val="32"/>
        </w:rPr>
        <w:t>)</w:t>
      </w:r>
    </w:p>
    <w:p w:rsidR="00D70086" w:rsidRDefault="00D70086" w:rsidP="00A95509">
      <w:pPr>
        <w:widowControl/>
        <w:jc w:val="center"/>
      </w:pPr>
    </w:p>
    <w:p w:rsidR="00D70086" w:rsidRDefault="00D70086" w:rsidP="00A95509">
      <w:pPr>
        <w:widowControl/>
        <w:jc w:val="center"/>
      </w:pPr>
      <w:r>
        <w:rPr>
          <w:noProof/>
          <w:lang w:eastAsia="en-US"/>
        </w:rPr>
        <w:drawing>
          <wp:inline distT="0" distB="0" distL="0" distR="0">
            <wp:extent cx="5943600" cy="4459605"/>
            <wp:effectExtent l="0" t="0" r="0" b="0"/>
            <wp:docPr id="40" name="Picture 40" descr="the completed  frame is used to organize key information about the rules associated with exponents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86" w:rsidRDefault="00D70086" w:rsidP="00D70086">
      <w:pPr>
        <w:widowControl/>
        <w:jc w:val="center"/>
        <w:sectPr w:rsidR="00D70086" w:rsidSect="00D70086">
          <w:pgSz w:w="15840" w:h="12240" w:orient="landscape"/>
          <w:pgMar w:top="1440" w:right="1440" w:bottom="1440" w:left="990" w:header="720" w:footer="720" w:gutter="0"/>
          <w:cols w:space="720"/>
          <w:noEndnote/>
          <w:docGrid w:linePitch="326"/>
        </w:sectPr>
      </w:pPr>
    </w:p>
    <w:p w:rsidR="00D70086" w:rsidRPr="00A95509" w:rsidRDefault="00D70086" w:rsidP="00A95509">
      <w:pPr>
        <w:widowControl/>
        <w:jc w:val="center"/>
        <w:rPr>
          <w:b/>
          <w:sz w:val="32"/>
          <w:szCs w:val="32"/>
        </w:rPr>
      </w:pPr>
      <w:r w:rsidRPr="00A95509">
        <w:rPr>
          <w:b/>
          <w:sz w:val="32"/>
          <w:szCs w:val="32"/>
        </w:rPr>
        <w:lastRenderedPageBreak/>
        <w:t>Scientifically Speaking</w:t>
      </w:r>
    </w:p>
    <w:p w:rsidR="00D70086" w:rsidRDefault="00D70086" w:rsidP="00D70086">
      <w:pPr>
        <w:widowControl/>
        <w:jc w:val="center"/>
      </w:pPr>
    </w:p>
    <w:p w:rsidR="00D70086" w:rsidRDefault="00D70086" w:rsidP="00D70086">
      <w:pPr>
        <w:widowControl/>
        <w:jc w:val="center"/>
      </w:pPr>
    </w:p>
    <w:p w:rsidR="00D70086" w:rsidRDefault="00D70086" w:rsidP="00D70086">
      <w:pPr>
        <w:widowControl/>
        <w:jc w:val="center"/>
        <w:sectPr w:rsidR="00D70086" w:rsidSect="00D70086">
          <w:pgSz w:w="15840" w:h="12240" w:orient="landscape"/>
          <w:pgMar w:top="1440" w:right="1440" w:bottom="1440" w:left="99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>
            <wp:extent cx="6563679" cy="4572000"/>
            <wp:effectExtent l="0" t="0" r="8890" b="0"/>
            <wp:docPr id="41" name="Picture 41" descr="application activity of the rules of exponents" title="scientifically speaking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171" cy="458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86" w:rsidRDefault="00D70086" w:rsidP="00A95509">
      <w:pPr>
        <w:widowControl/>
        <w:jc w:val="center"/>
      </w:pPr>
    </w:p>
    <w:p w:rsidR="00D70086" w:rsidRDefault="00D70086" w:rsidP="00A95509">
      <w:pPr>
        <w:widowControl/>
        <w:jc w:val="center"/>
      </w:pPr>
    </w:p>
    <w:p w:rsidR="005813C8" w:rsidRPr="001049DC" w:rsidRDefault="00D70086" w:rsidP="00A95509">
      <w:pPr>
        <w:spacing w:after="240"/>
        <w:ind w:left="720" w:hanging="540"/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7078063" cy="2857899"/>
            <wp:effectExtent l="0" t="0" r="8890" b="0"/>
            <wp:docPr id="42" name="Picture 42" descr="students' application of the rules of exponents" title="scientifically speaking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063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3C8" w:rsidRPr="001049DC" w:rsidSect="00A95509">
      <w:pgSz w:w="15840" w:h="12240" w:orient="landscape"/>
      <w:pgMar w:top="1440" w:right="1440" w:bottom="1440" w:left="99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2A" w:rsidRDefault="005A1A2A" w:rsidP="00774BF2">
      <w:r>
        <w:separator/>
      </w:r>
    </w:p>
  </w:endnote>
  <w:endnote w:type="continuationSeparator" w:id="0">
    <w:p w:rsidR="005A1A2A" w:rsidRDefault="005A1A2A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050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86" w:rsidRDefault="00D7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4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2A" w:rsidRDefault="005A1A2A" w:rsidP="00774BF2">
      <w:r>
        <w:separator/>
      </w:r>
    </w:p>
  </w:footnote>
  <w:footnote w:type="continuationSeparator" w:id="0">
    <w:p w:rsidR="005A1A2A" w:rsidRDefault="005A1A2A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D5E70"/>
    <w:multiLevelType w:val="hybridMultilevel"/>
    <w:tmpl w:val="A11296B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5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EB47D13"/>
    <w:multiLevelType w:val="hybridMultilevel"/>
    <w:tmpl w:val="3C4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17"/>
  </w:num>
  <w:num w:numId="13">
    <w:abstractNumId w:val="20"/>
  </w:num>
  <w:num w:numId="14">
    <w:abstractNumId w:val="1"/>
  </w:num>
  <w:num w:numId="15">
    <w:abstractNumId w:val="16"/>
  </w:num>
  <w:num w:numId="16">
    <w:abstractNumId w:val="7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0259C"/>
    <w:rsid w:val="000106CD"/>
    <w:rsid w:val="00017C9C"/>
    <w:rsid w:val="000202A9"/>
    <w:rsid w:val="00020B38"/>
    <w:rsid w:val="000307FE"/>
    <w:rsid w:val="00032097"/>
    <w:rsid w:val="000A3549"/>
    <w:rsid w:val="000A55A3"/>
    <w:rsid w:val="000C6E68"/>
    <w:rsid w:val="000D12F4"/>
    <w:rsid w:val="00103A14"/>
    <w:rsid w:val="001049DC"/>
    <w:rsid w:val="00115633"/>
    <w:rsid w:val="00121F8F"/>
    <w:rsid w:val="001451D0"/>
    <w:rsid w:val="00151D52"/>
    <w:rsid w:val="00152131"/>
    <w:rsid w:val="00153BA3"/>
    <w:rsid w:val="001558CB"/>
    <w:rsid w:val="0018083C"/>
    <w:rsid w:val="00182F36"/>
    <w:rsid w:val="001A0274"/>
    <w:rsid w:val="001A44FF"/>
    <w:rsid w:val="001A6459"/>
    <w:rsid w:val="001D5D44"/>
    <w:rsid w:val="002045A4"/>
    <w:rsid w:val="00222410"/>
    <w:rsid w:val="00252680"/>
    <w:rsid w:val="002530C6"/>
    <w:rsid w:val="002562B6"/>
    <w:rsid w:val="0025660F"/>
    <w:rsid w:val="002645C4"/>
    <w:rsid w:val="00271DEA"/>
    <w:rsid w:val="0027347E"/>
    <w:rsid w:val="002A1B95"/>
    <w:rsid w:val="002E60CE"/>
    <w:rsid w:val="0030291A"/>
    <w:rsid w:val="00335572"/>
    <w:rsid w:val="00351F39"/>
    <w:rsid w:val="00354FC9"/>
    <w:rsid w:val="00363AFB"/>
    <w:rsid w:val="00376092"/>
    <w:rsid w:val="00390AA9"/>
    <w:rsid w:val="00392B1F"/>
    <w:rsid w:val="00395C7D"/>
    <w:rsid w:val="003B49F3"/>
    <w:rsid w:val="003B4D66"/>
    <w:rsid w:val="003B564E"/>
    <w:rsid w:val="003C48C8"/>
    <w:rsid w:val="003C4B57"/>
    <w:rsid w:val="003D0237"/>
    <w:rsid w:val="003E61FC"/>
    <w:rsid w:val="00415358"/>
    <w:rsid w:val="00456996"/>
    <w:rsid w:val="00465B1A"/>
    <w:rsid w:val="00476E09"/>
    <w:rsid w:val="00497B6F"/>
    <w:rsid w:val="004A0B0A"/>
    <w:rsid w:val="004A0D6D"/>
    <w:rsid w:val="004A2F8D"/>
    <w:rsid w:val="004C28B8"/>
    <w:rsid w:val="004D0D3F"/>
    <w:rsid w:val="004E640D"/>
    <w:rsid w:val="004E7470"/>
    <w:rsid w:val="004F14BD"/>
    <w:rsid w:val="004F324C"/>
    <w:rsid w:val="00500BAA"/>
    <w:rsid w:val="005066DE"/>
    <w:rsid w:val="0051783C"/>
    <w:rsid w:val="00545D4A"/>
    <w:rsid w:val="00562831"/>
    <w:rsid w:val="00572C2B"/>
    <w:rsid w:val="005803DA"/>
    <w:rsid w:val="005813C8"/>
    <w:rsid w:val="00586693"/>
    <w:rsid w:val="00586A2C"/>
    <w:rsid w:val="005A1A2A"/>
    <w:rsid w:val="0065543F"/>
    <w:rsid w:val="00660634"/>
    <w:rsid w:val="0066327C"/>
    <w:rsid w:val="006735E2"/>
    <w:rsid w:val="0067749F"/>
    <w:rsid w:val="00716943"/>
    <w:rsid w:val="00720A4E"/>
    <w:rsid w:val="00761D37"/>
    <w:rsid w:val="00774BF2"/>
    <w:rsid w:val="00784AFD"/>
    <w:rsid w:val="007947F8"/>
    <w:rsid w:val="007A13D7"/>
    <w:rsid w:val="007A3078"/>
    <w:rsid w:val="007C26A5"/>
    <w:rsid w:val="007D30B6"/>
    <w:rsid w:val="007E2E92"/>
    <w:rsid w:val="007E68DB"/>
    <w:rsid w:val="00805F3D"/>
    <w:rsid w:val="00855854"/>
    <w:rsid w:val="008612BE"/>
    <w:rsid w:val="00867493"/>
    <w:rsid w:val="00884101"/>
    <w:rsid w:val="00885417"/>
    <w:rsid w:val="008A59C4"/>
    <w:rsid w:val="008C2ACB"/>
    <w:rsid w:val="008C6494"/>
    <w:rsid w:val="008D785B"/>
    <w:rsid w:val="008E0A7B"/>
    <w:rsid w:val="008E6DAD"/>
    <w:rsid w:val="008E77A6"/>
    <w:rsid w:val="008F07A5"/>
    <w:rsid w:val="00902DE3"/>
    <w:rsid w:val="009065CE"/>
    <w:rsid w:val="00916069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96586"/>
    <w:rsid w:val="009A16DF"/>
    <w:rsid w:val="009E62B1"/>
    <w:rsid w:val="00A01CEC"/>
    <w:rsid w:val="00A058B4"/>
    <w:rsid w:val="00A323D8"/>
    <w:rsid w:val="00A36C22"/>
    <w:rsid w:val="00A653E6"/>
    <w:rsid w:val="00A7358E"/>
    <w:rsid w:val="00A74F53"/>
    <w:rsid w:val="00A75DD1"/>
    <w:rsid w:val="00A76969"/>
    <w:rsid w:val="00A95509"/>
    <w:rsid w:val="00A96EBE"/>
    <w:rsid w:val="00AA05DA"/>
    <w:rsid w:val="00AA0D0E"/>
    <w:rsid w:val="00AA3493"/>
    <w:rsid w:val="00AA4502"/>
    <w:rsid w:val="00AC01F8"/>
    <w:rsid w:val="00AC39F3"/>
    <w:rsid w:val="00AD08D6"/>
    <w:rsid w:val="00AD2013"/>
    <w:rsid w:val="00AE0361"/>
    <w:rsid w:val="00AE2C0E"/>
    <w:rsid w:val="00AE44C4"/>
    <w:rsid w:val="00AF35C6"/>
    <w:rsid w:val="00B22882"/>
    <w:rsid w:val="00B22983"/>
    <w:rsid w:val="00B32A5F"/>
    <w:rsid w:val="00B32D2A"/>
    <w:rsid w:val="00B4278B"/>
    <w:rsid w:val="00B55B18"/>
    <w:rsid w:val="00B55D67"/>
    <w:rsid w:val="00B63F24"/>
    <w:rsid w:val="00B67FBF"/>
    <w:rsid w:val="00B730AF"/>
    <w:rsid w:val="00B8319C"/>
    <w:rsid w:val="00B9035E"/>
    <w:rsid w:val="00B95AE8"/>
    <w:rsid w:val="00B95BE3"/>
    <w:rsid w:val="00B96418"/>
    <w:rsid w:val="00BA4F2C"/>
    <w:rsid w:val="00BF046F"/>
    <w:rsid w:val="00BF2E26"/>
    <w:rsid w:val="00C06B7A"/>
    <w:rsid w:val="00C13064"/>
    <w:rsid w:val="00C1405E"/>
    <w:rsid w:val="00C478E7"/>
    <w:rsid w:val="00C50389"/>
    <w:rsid w:val="00C54491"/>
    <w:rsid w:val="00C60F96"/>
    <w:rsid w:val="00C65A0A"/>
    <w:rsid w:val="00C70E99"/>
    <w:rsid w:val="00C9350C"/>
    <w:rsid w:val="00CB3241"/>
    <w:rsid w:val="00CC12F5"/>
    <w:rsid w:val="00CC6596"/>
    <w:rsid w:val="00CD2C60"/>
    <w:rsid w:val="00CE6CE9"/>
    <w:rsid w:val="00CF2234"/>
    <w:rsid w:val="00D03428"/>
    <w:rsid w:val="00D073E0"/>
    <w:rsid w:val="00D11590"/>
    <w:rsid w:val="00D36B6B"/>
    <w:rsid w:val="00D50FB1"/>
    <w:rsid w:val="00D561CF"/>
    <w:rsid w:val="00D70086"/>
    <w:rsid w:val="00D953F1"/>
    <w:rsid w:val="00DC34B1"/>
    <w:rsid w:val="00DE7C23"/>
    <w:rsid w:val="00E178BF"/>
    <w:rsid w:val="00E300A8"/>
    <w:rsid w:val="00E3045B"/>
    <w:rsid w:val="00E30B24"/>
    <w:rsid w:val="00E40032"/>
    <w:rsid w:val="00E45A8B"/>
    <w:rsid w:val="00E70FC2"/>
    <w:rsid w:val="00E758AB"/>
    <w:rsid w:val="00E77516"/>
    <w:rsid w:val="00E83807"/>
    <w:rsid w:val="00EA1319"/>
    <w:rsid w:val="00ED012E"/>
    <w:rsid w:val="00ED2A25"/>
    <w:rsid w:val="00EF1E8E"/>
    <w:rsid w:val="00F14257"/>
    <w:rsid w:val="00F1433B"/>
    <w:rsid w:val="00F44FAD"/>
    <w:rsid w:val="00F468B2"/>
    <w:rsid w:val="00F52057"/>
    <w:rsid w:val="00F57421"/>
    <w:rsid w:val="00F83777"/>
    <w:rsid w:val="00F948BF"/>
    <w:rsid w:val="00FA6CF2"/>
    <w:rsid w:val="00FB0DF8"/>
    <w:rsid w:val="00FB3BB6"/>
    <w:rsid w:val="00FD3D3E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crl.org/sim/brochures/CEoverview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6D1F-92A9-4250-A5B2-17BA9BE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5385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2</cp:revision>
  <cp:lastPrinted>2014-06-16T14:34:00Z</cp:lastPrinted>
  <dcterms:created xsi:type="dcterms:W3CDTF">2018-08-29T12:54:00Z</dcterms:created>
  <dcterms:modified xsi:type="dcterms:W3CDTF">2018-08-29T12:54:00Z</dcterms:modified>
</cp:coreProperties>
</file>