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14162" w14:textId="6FE72F3E" w:rsidR="00EB40D2" w:rsidRDefault="00496B79">
      <w:pPr>
        <w:pStyle w:val="Heading1"/>
      </w:pPr>
      <w:r>
        <w:t xml:space="preserve">Comparing Fractions </w:t>
      </w:r>
      <w:r w:rsidR="009F7676">
        <w:t xml:space="preserve">– </w:t>
      </w:r>
      <w:r>
        <w:t xml:space="preserve">A Co-Teaching Lesson Plan </w:t>
      </w:r>
    </w:p>
    <w:p w14:paraId="11AD0B70" w14:textId="77777777" w:rsidR="00EB40D2" w:rsidRDefault="00496B79" w:rsidP="00B166EA">
      <w:pPr>
        <w:pStyle w:val="Heading2"/>
        <w:spacing w:before="240"/>
      </w:pPr>
      <w:r>
        <w:t xml:space="preserve">Co-Teaching Approaches </w:t>
      </w:r>
    </w:p>
    <w:p w14:paraId="369C8DBF" w14:textId="77777777" w:rsidR="00EB40D2" w:rsidRDefault="00496B79">
      <w:pPr>
        <w:pStyle w:val="Normal1"/>
      </w:pPr>
      <w:r>
        <w:t>A “(Y)”in front of the following list items indicates the approach is outlined in the lesson. A“(N)”in front of the following list items indicates the approach is not outlined in the lesson.</w:t>
      </w:r>
    </w:p>
    <w:p w14:paraId="2EF6ABDC" w14:textId="77777777" w:rsidR="00EB40D2" w:rsidRDefault="00EB40D2">
      <w:pPr>
        <w:pStyle w:val="Normal1"/>
        <w:sectPr w:rsidR="00EB40D2" w:rsidSect="00B166EA">
          <w:footerReference w:type="default" r:id="rId9"/>
          <w:pgSz w:w="15840" w:h="12240"/>
          <w:pgMar w:top="1440" w:right="1440" w:bottom="1440" w:left="1440" w:header="0" w:footer="720" w:gutter="0"/>
          <w:cols w:space="720"/>
        </w:sectPr>
      </w:pPr>
    </w:p>
    <w:p w14:paraId="482BD7BC" w14:textId="1A414ADF" w:rsidR="00EB40D2" w:rsidRDefault="00496B79">
      <w:pPr>
        <w:pStyle w:val="Normal1"/>
        <w:numPr>
          <w:ilvl w:val="0"/>
          <w:numId w:val="3"/>
        </w:numPr>
        <w:contextualSpacing/>
      </w:pPr>
      <w:r>
        <w:lastRenderedPageBreak/>
        <w:t>(</w:t>
      </w:r>
      <w:r w:rsidR="00DA0F2A">
        <w:t>N</w:t>
      </w:r>
      <w:r>
        <w:t>) Parallel Teaching</w:t>
      </w:r>
    </w:p>
    <w:p w14:paraId="550025B5" w14:textId="77777777" w:rsidR="00EB40D2" w:rsidRDefault="00496B79">
      <w:pPr>
        <w:pStyle w:val="Normal1"/>
        <w:numPr>
          <w:ilvl w:val="0"/>
          <w:numId w:val="3"/>
        </w:numPr>
        <w:contextualSpacing/>
      </w:pPr>
      <w:r>
        <w:t>(Y) Team Teaching</w:t>
      </w:r>
    </w:p>
    <w:p w14:paraId="01B36580" w14:textId="5DD72370" w:rsidR="00EB40D2" w:rsidRDefault="00496B79">
      <w:pPr>
        <w:pStyle w:val="Normal1"/>
        <w:numPr>
          <w:ilvl w:val="0"/>
          <w:numId w:val="3"/>
        </w:numPr>
        <w:contextualSpacing/>
        <w:rPr>
          <w:b/>
        </w:rPr>
      </w:pPr>
      <w:r>
        <w:lastRenderedPageBreak/>
        <w:t>(</w:t>
      </w:r>
      <w:r w:rsidR="00DA0F2A">
        <w:t>N</w:t>
      </w:r>
      <w:r>
        <w:t>) Station Teaching</w:t>
      </w:r>
    </w:p>
    <w:p w14:paraId="5A49A3AF" w14:textId="7CFCC754" w:rsidR="00EB40D2" w:rsidRDefault="00496B79">
      <w:pPr>
        <w:pStyle w:val="Normal1"/>
        <w:numPr>
          <w:ilvl w:val="0"/>
          <w:numId w:val="3"/>
        </w:numPr>
        <w:contextualSpacing/>
      </w:pPr>
      <w:r>
        <w:t>(</w:t>
      </w:r>
      <w:r w:rsidR="00DA0F2A">
        <w:t>N</w:t>
      </w:r>
      <w:r>
        <w:t>) One Teach/One Observe</w:t>
      </w:r>
    </w:p>
    <w:p w14:paraId="561955A7" w14:textId="7A885CAC" w:rsidR="00EB40D2" w:rsidRDefault="00496B79">
      <w:pPr>
        <w:pStyle w:val="Normal1"/>
        <w:numPr>
          <w:ilvl w:val="0"/>
          <w:numId w:val="3"/>
        </w:numPr>
        <w:contextualSpacing/>
      </w:pPr>
      <w:r>
        <w:lastRenderedPageBreak/>
        <w:t>(</w:t>
      </w:r>
      <w:r w:rsidR="00DA0F2A">
        <w:t>N</w:t>
      </w:r>
      <w:r>
        <w:t>) Alternative Teaching</w:t>
      </w:r>
    </w:p>
    <w:p w14:paraId="24F7D9C9" w14:textId="77777777" w:rsidR="00EB40D2" w:rsidRDefault="00496B79">
      <w:pPr>
        <w:pStyle w:val="Normal1"/>
        <w:numPr>
          <w:ilvl w:val="0"/>
          <w:numId w:val="3"/>
        </w:numPr>
        <w:contextualSpacing/>
      </w:pPr>
      <w:r>
        <w:t xml:space="preserve">(Y) One Teach/One Assist </w:t>
      </w:r>
    </w:p>
    <w:p w14:paraId="536ABFFF" w14:textId="77777777" w:rsidR="00EB40D2" w:rsidRDefault="00EB40D2">
      <w:pPr>
        <w:pStyle w:val="Normal1"/>
        <w:spacing w:after="240"/>
        <w:sectPr w:rsidR="00EB40D2" w:rsidSect="00B166EA">
          <w:type w:val="continuous"/>
          <w:pgSz w:w="15840" w:h="12240"/>
          <w:pgMar w:top="1440" w:right="1440" w:bottom="1440" w:left="1440" w:header="0" w:footer="720" w:gutter="0"/>
          <w:cols w:num="3" w:space="720" w:equalWidth="0">
            <w:col w:w="3840" w:space="720"/>
            <w:col w:w="3840" w:space="720"/>
            <w:col w:w="3840" w:space="0"/>
          </w:cols>
        </w:sectPr>
      </w:pPr>
    </w:p>
    <w:p w14:paraId="60ED14D5" w14:textId="77777777" w:rsidR="00EB40D2" w:rsidRDefault="00496B79" w:rsidP="00B166EA">
      <w:pPr>
        <w:pStyle w:val="Heading2"/>
        <w:spacing w:before="480"/>
      </w:pPr>
      <w:r>
        <w:lastRenderedPageBreak/>
        <w:t>Subject</w:t>
      </w:r>
    </w:p>
    <w:p w14:paraId="02452B64" w14:textId="6019348D" w:rsidR="00EB40D2" w:rsidRDefault="00FF36AB">
      <w:pPr>
        <w:pStyle w:val="Normal1"/>
      </w:pPr>
      <w:r>
        <w:t xml:space="preserve">Grade 3 </w:t>
      </w:r>
      <w:r w:rsidR="00496B79">
        <w:t>Math</w:t>
      </w:r>
      <w:r>
        <w:t>ematics</w:t>
      </w:r>
    </w:p>
    <w:p w14:paraId="329E400B" w14:textId="130C4959" w:rsidR="00EB40D2" w:rsidRDefault="00496B79" w:rsidP="00B166EA">
      <w:pPr>
        <w:pStyle w:val="Heading2"/>
        <w:spacing w:before="240"/>
      </w:pPr>
      <w:r>
        <w:t>Strand</w:t>
      </w:r>
    </w:p>
    <w:p w14:paraId="7C0BBFFC" w14:textId="77777777" w:rsidR="00EB40D2" w:rsidRDefault="00496B79">
      <w:pPr>
        <w:pStyle w:val="Normal1"/>
      </w:pPr>
      <w:r>
        <w:t>Number and Number Sense</w:t>
      </w:r>
    </w:p>
    <w:p w14:paraId="1658760E" w14:textId="59669D7E" w:rsidR="00EB40D2" w:rsidRDefault="00496B79" w:rsidP="00B166EA">
      <w:pPr>
        <w:pStyle w:val="Heading2"/>
        <w:spacing w:before="240"/>
      </w:pPr>
      <w:r>
        <w:t>Topic</w:t>
      </w:r>
    </w:p>
    <w:p w14:paraId="5AB5A77D" w14:textId="77777777" w:rsidR="00EB40D2" w:rsidRDefault="00496B79">
      <w:pPr>
        <w:pStyle w:val="Normal1"/>
      </w:pPr>
      <w:r>
        <w:t>Comparing fractions</w:t>
      </w:r>
    </w:p>
    <w:p w14:paraId="05E74D4A" w14:textId="442392F9" w:rsidR="00EB40D2" w:rsidRDefault="0039576F" w:rsidP="00B166EA">
      <w:pPr>
        <w:pStyle w:val="Heading2"/>
        <w:spacing w:before="240"/>
      </w:pPr>
      <w:r>
        <w:t>SOL</w:t>
      </w:r>
    </w:p>
    <w:p w14:paraId="1D6E2AF9" w14:textId="002B684F" w:rsidR="00C2604F" w:rsidRDefault="00496B79">
      <w:pPr>
        <w:pStyle w:val="Normal1"/>
      </w:pPr>
      <w:r>
        <w:t>3.</w:t>
      </w:r>
      <w:r w:rsidR="00FF36AB">
        <w:t>2</w:t>
      </w:r>
      <w:r w:rsidR="00C2604F">
        <w:tab/>
      </w:r>
      <w:r>
        <w:t xml:space="preserve">The student </w:t>
      </w:r>
      <w:r w:rsidR="00C2604F">
        <w:t>will</w:t>
      </w:r>
    </w:p>
    <w:p w14:paraId="158CD26C" w14:textId="1C4D48BD" w:rsidR="00EB40D2" w:rsidRDefault="00496B79" w:rsidP="00B166EA">
      <w:pPr>
        <w:pStyle w:val="Normal1"/>
        <w:numPr>
          <w:ilvl w:val="0"/>
          <w:numId w:val="14"/>
        </w:numPr>
        <w:ind w:left="1080"/>
      </w:pPr>
      <w:proofErr w:type="gramStart"/>
      <w:r>
        <w:t>compare</w:t>
      </w:r>
      <w:proofErr w:type="gramEnd"/>
      <w:r>
        <w:t xml:space="preserve"> fractions having like and unlike denominators, using words and symbols (&gt;, &lt;, </w:t>
      </w:r>
      <w:r w:rsidR="00DA0F2A">
        <w:t xml:space="preserve">or ≠) </w:t>
      </w:r>
      <w:r w:rsidR="00FF36AB">
        <w:t>with models.</w:t>
      </w:r>
    </w:p>
    <w:p w14:paraId="56713819" w14:textId="0E203B5F" w:rsidR="00EB40D2" w:rsidRDefault="00496B79" w:rsidP="00B166EA">
      <w:pPr>
        <w:pStyle w:val="Heading2"/>
        <w:spacing w:before="240"/>
      </w:pPr>
      <w:r>
        <w:t>Outcomes</w:t>
      </w:r>
    </w:p>
    <w:p w14:paraId="50820021" w14:textId="05926C1B" w:rsidR="00EB40D2" w:rsidRDefault="00496B79">
      <w:pPr>
        <w:pStyle w:val="Normal1"/>
        <w:tabs>
          <w:tab w:val="left" w:pos="270"/>
        </w:tabs>
        <w:rPr>
          <w:highlight w:val="white"/>
        </w:rPr>
      </w:pPr>
      <w:r>
        <w:rPr>
          <w:highlight w:val="white"/>
        </w:rPr>
        <w:t xml:space="preserve">The student will be able to </w:t>
      </w:r>
      <w:r w:rsidR="008153CA">
        <w:rPr>
          <w:highlight w:val="white"/>
        </w:rPr>
        <w:t>compare the size of</w:t>
      </w:r>
      <w:r w:rsidR="00B40C20">
        <w:rPr>
          <w:highlight w:val="white"/>
        </w:rPr>
        <w:t xml:space="preserve"> unit</w:t>
      </w:r>
      <w:r>
        <w:rPr>
          <w:highlight w:val="white"/>
        </w:rPr>
        <w:t xml:space="preserve"> fractions with like and unlike denominators</w:t>
      </w:r>
      <w:r w:rsidR="008153CA">
        <w:rPr>
          <w:highlight w:val="white"/>
        </w:rPr>
        <w:t>, using a length/measurement model</w:t>
      </w:r>
      <w:r w:rsidR="00B40C20">
        <w:rPr>
          <w:highlight w:val="white"/>
        </w:rPr>
        <w:t>.</w:t>
      </w:r>
    </w:p>
    <w:p w14:paraId="264BE528" w14:textId="5D49EAF3" w:rsidR="00EB40D2" w:rsidRDefault="00496B79" w:rsidP="00B166EA">
      <w:pPr>
        <w:pStyle w:val="Heading2"/>
        <w:spacing w:before="240"/>
      </w:pPr>
      <w:r>
        <w:t xml:space="preserve">Materials </w:t>
      </w:r>
    </w:p>
    <w:p w14:paraId="6F419936" w14:textId="4242F850" w:rsidR="008153CA" w:rsidRPr="00EA5BE8" w:rsidRDefault="0039576F" w:rsidP="00B166EA">
      <w:pPr>
        <w:pStyle w:val="Normal1"/>
        <w:widowControl/>
        <w:numPr>
          <w:ilvl w:val="0"/>
          <w:numId w:val="11"/>
        </w:numPr>
        <w:spacing w:line="276" w:lineRule="auto"/>
        <w:contextualSpacing/>
      </w:pPr>
      <w:r>
        <w:t xml:space="preserve">Two Hershey chocolate </w:t>
      </w:r>
      <w:r w:rsidR="00B40C20" w:rsidRPr="00EA5BE8">
        <w:t>bars of the same size</w:t>
      </w:r>
    </w:p>
    <w:p w14:paraId="77FAB748" w14:textId="58E81658" w:rsidR="00B40C20" w:rsidRPr="00EA5BE8" w:rsidRDefault="00B40C20" w:rsidP="00B166EA">
      <w:pPr>
        <w:pStyle w:val="Normal1"/>
        <w:widowControl/>
        <w:numPr>
          <w:ilvl w:val="0"/>
          <w:numId w:val="11"/>
        </w:numPr>
        <w:spacing w:line="276" w:lineRule="auto"/>
        <w:contextualSpacing/>
      </w:pPr>
      <w:r w:rsidRPr="00EA5BE8">
        <w:t>Knife (adult use only)</w:t>
      </w:r>
    </w:p>
    <w:p w14:paraId="5AAE0A5B" w14:textId="61BB8D10" w:rsidR="002D0B08" w:rsidRPr="00B166EA" w:rsidRDefault="00EB45C5" w:rsidP="00B166EA">
      <w:pPr>
        <w:pStyle w:val="Normal1"/>
        <w:widowControl/>
        <w:numPr>
          <w:ilvl w:val="0"/>
          <w:numId w:val="11"/>
        </w:numPr>
        <w:spacing w:line="276" w:lineRule="auto"/>
        <w:contextualSpacing/>
        <w:rPr>
          <w:color w:val="auto"/>
        </w:rPr>
      </w:pPr>
      <w:hyperlink r:id="rId10" w:history="1">
        <w:r w:rsidR="002D0B08" w:rsidRPr="00F15047">
          <w:rPr>
            <w:rStyle w:val="Hyperlink"/>
          </w:rPr>
          <w:t>YouTube videos on paper folding fraction strips</w:t>
        </w:r>
      </w:hyperlink>
      <w:r w:rsidR="002D0B08" w:rsidRPr="00EA5BE8">
        <w:t xml:space="preserve"> </w:t>
      </w:r>
      <w:r w:rsidR="00F15047">
        <w:rPr>
          <w:color w:val="006621"/>
          <w:shd w:val="clear" w:color="auto" w:fill="FFFFFF"/>
        </w:rPr>
        <w:t xml:space="preserve">: </w:t>
      </w:r>
      <w:r w:rsidR="00F15047">
        <w:rPr>
          <w:color w:val="auto"/>
          <w:shd w:val="clear" w:color="auto" w:fill="FFFFFF"/>
        </w:rPr>
        <w:t>t</w:t>
      </w:r>
      <w:r w:rsidR="00B97D9B" w:rsidRPr="00B166EA">
        <w:rPr>
          <w:color w:val="auto"/>
          <w:shd w:val="clear" w:color="auto" w:fill="FFFFFF"/>
        </w:rPr>
        <w:t>his one shows how to fold into fifths. Fold again to make tenths.</w:t>
      </w:r>
    </w:p>
    <w:p w14:paraId="48A2E9FA" w14:textId="2DC62BF0" w:rsidR="00EB40D2" w:rsidRPr="00EA5BE8" w:rsidRDefault="00B40C20" w:rsidP="00B166EA">
      <w:pPr>
        <w:pStyle w:val="Normal1"/>
        <w:widowControl/>
        <w:numPr>
          <w:ilvl w:val="0"/>
          <w:numId w:val="11"/>
        </w:numPr>
        <w:spacing w:line="276" w:lineRule="auto"/>
        <w:contextualSpacing/>
      </w:pPr>
      <w:r w:rsidRPr="00EA5BE8">
        <w:t xml:space="preserve">Precut sets of </w:t>
      </w:r>
      <w:r w:rsidR="00B97D9B" w:rsidRPr="00EA5BE8">
        <w:t>seven</w:t>
      </w:r>
      <w:r w:rsidRPr="00EA5BE8">
        <w:t xml:space="preserve"> 3</w:t>
      </w:r>
      <w:r w:rsidR="0039576F">
        <w:t>”</w:t>
      </w:r>
      <w:r w:rsidRPr="00EA5BE8">
        <w:t xml:space="preserve"> x 12</w:t>
      </w:r>
      <w:r w:rsidR="0039576F">
        <w:t>”</w:t>
      </w:r>
      <w:r w:rsidRPr="00EA5BE8">
        <w:t xml:space="preserve"> strips of </w:t>
      </w:r>
      <w:r w:rsidR="00496B79" w:rsidRPr="00EA5BE8">
        <w:t xml:space="preserve">construction paper in five different colors (e.g., red, blue, green, yellow, </w:t>
      </w:r>
      <w:proofErr w:type="gramStart"/>
      <w:r w:rsidR="00496B79" w:rsidRPr="00EA5BE8">
        <w:t>purple</w:t>
      </w:r>
      <w:proofErr w:type="gramEnd"/>
      <w:r w:rsidR="002D0B08" w:rsidRPr="00EA5BE8">
        <w:t>, pink, white</w:t>
      </w:r>
      <w:r w:rsidR="00496B79" w:rsidRPr="00EA5BE8">
        <w:t>)</w:t>
      </w:r>
      <w:r w:rsidRPr="00EA5BE8">
        <w:t xml:space="preserve">. You need one set of </w:t>
      </w:r>
      <w:r w:rsidR="00DE1375">
        <w:t>seven</w:t>
      </w:r>
      <w:r w:rsidR="00DE1375" w:rsidRPr="00EA5BE8">
        <w:t xml:space="preserve"> </w:t>
      </w:r>
      <w:r w:rsidRPr="00EA5BE8">
        <w:t>strips for each student.</w:t>
      </w:r>
    </w:p>
    <w:p w14:paraId="2CF6E95F" w14:textId="77777777" w:rsidR="00EB40D2" w:rsidRPr="00EA5BE8" w:rsidRDefault="00496B79" w:rsidP="00B166EA">
      <w:pPr>
        <w:pStyle w:val="Normal1"/>
        <w:widowControl/>
        <w:numPr>
          <w:ilvl w:val="0"/>
          <w:numId w:val="11"/>
        </w:numPr>
        <w:spacing w:line="276" w:lineRule="auto"/>
        <w:contextualSpacing/>
      </w:pPr>
      <w:r w:rsidRPr="00EA5BE8">
        <w:t>Scissors</w:t>
      </w:r>
    </w:p>
    <w:p w14:paraId="1763BB47" w14:textId="77777777" w:rsidR="00EB40D2" w:rsidRPr="00EA5BE8" w:rsidRDefault="00496B79" w:rsidP="00B166EA">
      <w:pPr>
        <w:pStyle w:val="Normal1"/>
        <w:widowControl/>
        <w:numPr>
          <w:ilvl w:val="0"/>
          <w:numId w:val="11"/>
        </w:numPr>
        <w:spacing w:line="276" w:lineRule="auto"/>
        <w:contextualSpacing/>
      </w:pPr>
      <w:r w:rsidRPr="00EA5BE8">
        <w:t>Pencils or markers</w:t>
      </w:r>
    </w:p>
    <w:p w14:paraId="68145D7F" w14:textId="0E3CF409" w:rsidR="00EB40D2" w:rsidRPr="00EA5BE8" w:rsidRDefault="00A73518" w:rsidP="00B166EA">
      <w:pPr>
        <w:pStyle w:val="Normal1"/>
        <w:widowControl/>
        <w:numPr>
          <w:ilvl w:val="0"/>
          <w:numId w:val="11"/>
        </w:numPr>
        <w:spacing w:line="276" w:lineRule="auto"/>
        <w:contextualSpacing/>
      </w:pPr>
      <w:proofErr w:type="spellStart"/>
      <w:r>
        <w:t>Reseal</w:t>
      </w:r>
      <w:r w:rsidRPr="00EA5BE8">
        <w:t>able</w:t>
      </w:r>
      <w:proofErr w:type="spellEnd"/>
      <w:r w:rsidR="00496B79" w:rsidRPr="00EA5BE8">
        <w:t xml:space="preserve"> plastic storage bags</w:t>
      </w:r>
    </w:p>
    <w:p w14:paraId="10EAC7E0" w14:textId="77777777" w:rsidR="00DE1375" w:rsidRDefault="00496B79" w:rsidP="00B166EA">
      <w:pPr>
        <w:pStyle w:val="Normal1"/>
        <w:widowControl/>
        <w:numPr>
          <w:ilvl w:val="0"/>
          <w:numId w:val="11"/>
        </w:numPr>
        <w:spacing w:line="276" w:lineRule="auto"/>
        <w:contextualSpacing/>
      </w:pPr>
      <w:r w:rsidRPr="00EA5BE8">
        <w:t>Mine’s Bigger!</w:t>
      </w:r>
      <w:r w:rsidR="00DE1375">
        <w:t xml:space="preserve"> Fraction Comparison Game directions (attached)</w:t>
      </w:r>
    </w:p>
    <w:p w14:paraId="7053AEA5" w14:textId="0D7FD5B8" w:rsidR="00EB40D2" w:rsidRPr="00EA5BE8" w:rsidRDefault="00DE1375" w:rsidP="00B166EA">
      <w:pPr>
        <w:pStyle w:val="Normal1"/>
        <w:widowControl/>
        <w:numPr>
          <w:ilvl w:val="0"/>
          <w:numId w:val="11"/>
        </w:numPr>
        <w:spacing w:line="276" w:lineRule="auto"/>
        <w:contextualSpacing/>
      </w:pPr>
      <w:r>
        <w:t>Mine’s Bigger! Fraction Comparison Game Record</w:t>
      </w:r>
      <w:r w:rsidR="00496B79" w:rsidRPr="00EA5BE8">
        <w:t xml:space="preserve"> Sheet (attached)</w:t>
      </w:r>
    </w:p>
    <w:p w14:paraId="555FE427" w14:textId="02F8D5B4" w:rsidR="00EB40D2" w:rsidRPr="00EA5BE8" w:rsidRDefault="00496B79" w:rsidP="00B166EA">
      <w:pPr>
        <w:pStyle w:val="Normal1"/>
        <w:widowControl/>
        <w:numPr>
          <w:ilvl w:val="0"/>
          <w:numId w:val="11"/>
        </w:numPr>
        <w:spacing w:line="276" w:lineRule="auto"/>
        <w:contextualSpacing/>
      </w:pPr>
      <w:r w:rsidRPr="00EA5BE8">
        <w:t>Fraction Cards (attached</w:t>
      </w:r>
      <w:r w:rsidR="00A84AAC" w:rsidRPr="00EA5BE8">
        <w:t xml:space="preserve"> and should be precut for students to use</w:t>
      </w:r>
      <w:r w:rsidRPr="00EA5BE8">
        <w:t>)</w:t>
      </w:r>
    </w:p>
    <w:p w14:paraId="5AC0A1E1" w14:textId="77777777" w:rsidR="00EB40D2" w:rsidRPr="00EA5BE8" w:rsidRDefault="00496B79" w:rsidP="00B166EA">
      <w:pPr>
        <w:pStyle w:val="Normal1"/>
        <w:widowControl/>
        <w:numPr>
          <w:ilvl w:val="0"/>
          <w:numId w:val="11"/>
        </w:numPr>
        <w:spacing w:line="276" w:lineRule="auto"/>
        <w:contextualSpacing/>
      </w:pPr>
      <w:r w:rsidRPr="00EA5BE8">
        <w:t>Paper bags</w:t>
      </w:r>
    </w:p>
    <w:p w14:paraId="2B0F1C4A" w14:textId="7C36AFB5" w:rsidR="00EB40D2" w:rsidRDefault="00496B79" w:rsidP="00B166EA">
      <w:pPr>
        <w:pStyle w:val="Heading2"/>
        <w:spacing w:before="240"/>
      </w:pPr>
      <w:r>
        <w:t>Vocabulary</w:t>
      </w:r>
    </w:p>
    <w:p w14:paraId="7DBD1DC4" w14:textId="77777777" w:rsidR="00EB40D2" w:rsidRDefault="00EB40D2">
      <w:pPr>
        <w:pStyle w:val="Normal1"/>
        <w:ind w:left="720" w:hanging="360"/>
        <w:sectPr w:rsidR="00EB40D2" w:rsidSect="00B166EA">
          <w:type w:val="continuous"/>
          <w:pgSz w:w="15840" w:h="12240"/>
          <w:pgMar w:top="1440" w:right="1440" w:bottom="1440" w:left="1440" w:header="0" w:footer="720" w:gutter="0"/>
          <w:cols w:space="720"/>
        </w:sectPr>
      </w:pPr>
    </w:p>
    <w:p w14:paraId="2CBC2814" w14:textId="6ABEABAC" w:rsidR="00B97D9B" w:rsidRPr="00B166EA" w:rsidRDefault="00EA5BE8" w:rsidP="00B166EA">
      <w:pPr>
        <w:pStyle w:val="Normal1"/>
        <w:ind w:left="360"/>
        <w:rPr>
          <w:i/>
          <w:sz w:val="28"/>
          <w:szCs w:val="28"/>
        </w:rPr>
      </w:pPr>
      <w:proofErr w:type="gramStart"/>
      <w:r w:rsidRPr="00D47251">
        <w:rPr>
          <w:i/>
        </w:rPr>
        <w:lastRenderedPageBreak/>
        <w:t>compare</w:t>
      </w:r>
      <w:proofErr w:type="gramEnd"/>
      <w:r w:rsidRPr="006710BC">
        <w:rPr>
          <w:i/>
        </w:rPr>
        <w:t>, congruent</w:t>
      </w:r>
      <w:r w:rsidRPr="00D47251">
        <w:rPr>
          <w:i/>
        </w:rPr>
        <w:t xml:space="preserve">, </w:t>
      </w:r>
      <w:r w:rsidRPr="002A2DB3">
        <w:rPr>
          <w:i/>
        </w:rPr>
        <w:t xml:space="preserve">denominator, </w:t>
      </w:r>
      <w:r w:rsidRPr="00511A79">
        <w:rPr>
          <w:i/>
        </w:rPr>
        <w:t xml:space="preserve">equal to, </w:t>
      </w:r>
      <w:r w:rsidR="00496B79" w:rsidRPr="00B166EA">
        <w:rPr>
          <w:i/>
        </w:rPr>
        <w:t>fraction</w:t>
      </w:r>
      <w:r w:rsidRPr="00B166EA">
        <w:rPr>
          <w:i/>
        </w:rPr>
        <w:t xml:space="preserve">, </w:t>
      </w:r>
      <w:r w:rsidR="00496B79" w:rsidRPr="00B166EA">
        <w:rPr>
          <w:i/>
        </w:rPr>
        <w:t>greater than</w:t>
      </w:r>
      <w:r w:rsidRPr="00B166EA">
        <w:rPr>
          <w:i/>
        </w:rPr>
        <w:t xml:space="preserve">, </w:t>
      </w:r>
      <w:r w:rsidR="00496B79" w:rsidRPr="00B166EA">
        <w:rPr>
          <w:i/>
        </w:rPr>
        <w:t>less than</w:t>
      </w:r>
      <w:r w:rsidRPr="00B166EA">
        <w:rPr>
          <w:i/>
        </w:rPr>
        <w:t xml:space="preserve">, </w:t>
      </w:r>
      <w:r w:rsidR="00496B79" w:rsidRPr="00B166EA">
        <w:rPr>
          <w:i/>
        </w:rPr>
        <w:t>numerator</w:t>
      </w:r>
    </w:p>
    <w:p w14:paraId="3D7792FD" w14:textId="77777777" w:rsidR="00B97D9B" w:rsidRDefault="00B97D9B">
      <w:pPr>
        <w:pStyle w:val="Normal1"/>
        <w:rPr>
          <w:sz w:val="28"/>
          <w:szCs w:val="28"/>
        </w:rPr>
        <w:sectPr w:rsidR="00B97D9B" w:rsidSect="00B166EA">
          <w:type w:val="continuous"/>
          <w:pgSz w:w="15840" w:h="12240"/>
          <w:pgMar w:top="1440" w:right="1440" w:bottom="1440" w:left="1440" w:header="0" w:footer="720" w:gutter="0"/>
          <w:cols w:space="720"/>
          <w:docGrid w:linePitch="326"/>
        </w:sectPr>
      </w:pPr>
    </w:p>
    <w:p w14:paraId="631E8BCD" w14:textId="77777777" w:rsidR="00EB40D2" w:rsidRDefault="00496B79" w:rsidP="00B166EA">
      <w:pPr>
        <w:pStyle w:val="Heading2"/>
      </w:pPr>
      <w:r>
        <w:lastRenderedPageBreak/>
        <w:t>Co-Teacher Actions</w:t>
      </w:r>
    </w:p>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esson Plan"/>
        <w:tblDescription w:val="This table describes the specific role of the general educator and the special educator throughout the lesson."/>
      </w:tblPr>
      <w:tblGrid>
        <w:gridCol w:w="2088"/>
        <w:gridCol w:w="2340"/>
        <w:gridCol w:w="4308"/>
        <w:gridCol w:w="4309"/>
      </w:tblGrid>
      <w:tr w:rsidR="00EB40D2" w14:paraId="1A4574A4" w14:textId="77777777" w:rsidTr="00F15047">
        <w:trPr>
          <w:tblHeader/>
        </w:trPr>
        <w:tc>
          <w:tcPr>
            <w:tcW w:w="2088" w:type="dxa"/>
          </w:tcPr>
          <w:p w14:paraId="25E61788" w14:textId="77777777" w:rsidR="00EB40D2" w:rsidRDefault="00496B79">
            <w:pPr>
              <w:pStyle w:val="Normal1"/>
              <w:rPr>
                <w:b/>
              </w:rPr>
            </w:pPr>
            <w:r>
              <w:rPr>
                <w:b/>
              </w:rPr>
              <w:t>Lesson Component</w:t>
            </w:r>
          </w:p>
        </w:tc>
        <w:tc>
          <w:tcPr>
            <w:tcW w:w="2340" w:type="dxa"/>
          </w:tcPr>
          <w:p w14:paraId="07219101" w14:textId="77777777" w:rsidR="00EB40D2" w:rsidRDefault="00496B79">
            <w:pPr>
              <w:pStyle w:val="Normal1"/>
              <w:rPr>
                <w:b/>
              </w:rPr>
            </w:pPr>
            <w:r>
              <w:rPr>
                <w:b/>
              </w:rPr>
              <w:t>Co-Teaching Approach(</w:t>
            </w:r>
            <w:proofErr w:type="spellStart"/>
            <w:r>
              <w:rPr>
                <w:b/>
              </w:rPr>
              <w:t>es</w:t>
            </w:r>
            <w:proofErr w:type="spellEnd"/>
            <w:r>
              <w:rPr>
                <w:b/>
              </w:rPr>
              <w:t>)</w:t>
            </w:r>
          </w:p>
        </w:tc>
        <w:tc>
          <w:tcPr>
            <w:tcW w:w="4308" w:type="dxa"/>
          </w:tcPr>
          <w:p w14:paraId="2DC4899D" w14:textId="77777777" w:rsidR="00EB40D2" w:rsidRPr="00B166EA" w:rsidRDefault="00496B79">
            <w:pPr>
              <w:pStyle w:val="Normal1"/>
              <w:rPr>
                <w:b/>
                <w:color w:val="auto"/>
              </w:rPr>
            </w:pPr>
            <w:r w:rsidRPr="00B166EA">
              <w:rPr>
                <w:b/>
                <w:color w:val="auto"/>
              </w:rPr>
              <w:t>General Educator (GE)</w:t>
            </w:r>
          </w:p>
        </w:tc>
        <w:tc>
          <w:tcPr>
            <w:tcW w:w="4309" w:type="dxa"/>
          </w:tcPr>
          <w:p w14:paraId="67E012FD" w14:textId="77777777" w:rsidR="00EB40D2" w:rsidRDefault="00496B79">
            <w:pPr>
              <w:pStyle w:val="Normal1"/>
              <w:rPr>
                <w:b/>
              </w:rPr>
            </w:pPr>
            <w:r>
              <w:rPr>
                <w:b/>
              </w:rPr>
              <w:t>Special Educator (SE)</w:t>
            </w:r>
          </w:p>
        </w:tc>
      </w:tr>
      <w:tr w:rsidR="00EB40D2" w14:paraId="65DB9A33" w14:textId="77777777" w:rsidTr="00B166EA">
        <w:tc>
          <w:tcPr>
            <w:tcW w:w="2088" w:type="dxa"/>
          </w:tcPr>
          <w:p w14:paraId="75986D4C" w14:textId="77777777" w:rsidR="00EB40D2" w:rsidRDefault="00496B79">
            <w:pPr>
              <w:pStyle w:val="Normal1"/>
              <w:rPr>
                <w:b/>
              </w:rPr>
            </w:pPr>
            <w:r>
              <w:rPr>
                <w:b/>
              </w:rPr>
              <w:t>Anticipatory Set</w:t>
            </w:r>
          </w:p>
        </w:tc>
        <w:tc>
          <w:tcPr>
            <w:tcW w:w="2340" w:type="dxa"/>
          </w:tcPr>
          <w:p w14:paraId="73A605E0" w14:textId="77777777" w:rsidR="00EB40D2" w:rsidRDefault="00496B79">
            <w:pPr>
              <w:pStyle w:val="Normal1"/>
            </w:pPr>
            <w:r>
              <w:t xml:space="preserve">Team Teaching </w:t>
            </w:r>
          </w:p>
        </w:tc>
        <w:tc>
          <w:tcPr>
            <w:tcW w:w="4308" w:type="dxa"/>
          </w:tcPr>
          <w:p w14:paraId="433C5996" w14:textId="1040BB78" w:rsidR="00EB40D2" w:rsidRPr="00B166EA" w:rsidRDefault="00F8259B" w:rsidP="00B166EA">
            <w:pPr>
              <w:pStyle w:val="Normal1"/>
              <w:spacing w:after="120"/>
              <w:rPr>
                <w:color w:val="auto"/>
              </w:rPr>
            </w:pPr>
            <w:r w:rsidRPr="00B166EA">
              <w:rPr>
                <w:color w:val="auto"/>
              </w:rPr>
              <w:t xml:space="preserve">(1) </w:t>
            </w:r>
            <w:r w:rsidR="00496B79" w:rsidRPr="00B166EA">
              <w:rPr>
                <w:color w:val="auto"/>
              </w:rPr>
              <w:t xml:space="preserve">The </w:t>
            </w:r>
            <w:r w:rsidR="00DE1375" w:rsidRPr="00B166EA">
              <w:rPr>
                <w:color w:val="auto"/>
              </w:rPr>
              <w:t xml:space="preserve">GE </w:t>
            </w:r>
            <w:r w:rsidR="00496B79" w:rsidRPr="00B166EA">
              <w:rPr>
                <w:color w:val="auto"/>
              </w:rPr>
              <w:t xml:space="preserve">directs </w:t>
            </w:r>
            <w:r w:rsidRPr="00B166EA">
              <w:rPr>
                <w:color w:val="auto"/>
              </w:rPr>
              <w:t>students’</w:t>
            </w:r>
            <w:r w:rsidR="00496B79" w:rsidRPr="00B166EA">
              <w:rPr>
                <w:color w:val="auto"/>
              </w:rPr>
              <w:t xml:space="preserve"> attention to a </w:t>
            </w:r>
            <w:r w:rsidR="00B40C20" w:rsidRPr="00B166EA">
              <w:rPr>
                <w:color w:val="auto"/>
              </w:rPr>
              <w:t xml:space="preserve">Hershey’s </w:t>
            </w:r>
            <w:r w:rsidR="00DE1375" w:rsidRPr="00B166EA">
              <w:rPr>
                <w:color w:val="auto"/>
              </w:rPr>
              <w:t>chocolate</w:t>
            </w:r>
            <w:r w:rsidR="00496B79" w:rsidRPr="00B166EA">
              <w:rPr>
                <w:color w:val="auto"/>
              </w:rPr>
              <w:t xml:space="preserve"> bar and </w:t>
            </w:r>
            <w:r w:rsidR="00DE1375" w:rsidRPr="00B166EA">
              <w:rPr>
                <w:color w:val="auto"/>
              </w:rPr>
              <w:t xml:space="preserve">compares </w:t>
            </w:r>
            <w:r w:rsidRPr="00B166EA">
              <w:rPr>
                <w:color w:val="auto"/>
              </w:rPr>
              <w:t xml:space="preserve">it to the bar the SE is holding. Ask, </w:t>
            </w:r>
            <w:r w:rsidR="00DE1375" w:rsidRPr="00B166EA">
              <w:rPr>
                <w:color w:val="auto"/>
              </w:rPr>
              <w:t>“A</w:t>
            </w:r>
            <w:r w:rsidRPr="00B166EA">
              <w:rPr>
                <w:color w:val="auto"/>
              </w:rPr>
              <w:t>re the two bars the same size?</w:t>
            </w:r>
            <w:r w:rsidR="00DE1375" w:rsidRPr="00B166EA">
              <w:rPr>
                <w:color w:val="auto"/>
              </w:rPr>
              <w:t>”</w:t>
            </w:r>
            <w:r w:rsidRPr="00B166EA">
              <w:rPr>
                <w:color w:val="auto"/>
              </w:rPr>
              <w:t xml:space="preserve"> (</w:t>
            </w:r>
            <w:proofErr w:type="gramStart"/>
            <w:r w:rsidRPr="00B166EA">
              <w:rPr>
                <w:color w:val="auto"/>
              </w:rPr>
              <w:t>yes</w:t>
            </w:r>
            <w:proofErr w:type="gramEnd"/>
            <w:r w:rsidRPr="00B166EA">
              <w:rPr>
                <w:color w:val="auto"/>
              </w:rPr>
              <w:t xml:space="preserve">). Now, </w:t>
            </w:r>
            <w:r w:rsidR="00496B79" w:rsidRPr="00B166EA">
              <w:rPr>
                <w:color w:val="auto"/>
              </w:rPr>
              <w:t xml:space="preserve">split </w:t>
            </w:r>
            <w:r w:rsidRPr="00B166EA">
              <w:rPr>
                <w:color w:val="auto"/>
              </w:rPr>
              <w:t>the bar</w:t>
            </w:r>
            <w:r w:rsidR="00496B79" w:rsidRPr="00B166EA">
              <w:rPr>
                <w:color w:val="auto"/>
              </w:rPr>
              <w:t xml:space="preserve"> in half </w:t>
            </w:r>
            <w:r w:rsidRPr="00B166EA">
              <w:rPr>
                <w:color w:val="auto"/>
              </w:rPr>
              <w:t>and lead class to identify each portion as “half</w:t>
            </w:r>
            <w:r w:rsidR="00DE1375" w:rsidRPr="00B166EA">
              <w:rPr>
                <w:color w:val="auto"/>
              </w:rPr>
              <w:t>.</w:t>
            </w:r>
            <w:r w:rsidRPr="00B166EA">
              <w:rPr>
                <w:color w:val="auto"/>
              </w:rPr>
              <w:t xml:space="preserve">” Write both the word and the number symbol for </w:t>
            </w:r>
            <w:r w:rsidR="00DE1375" w:rsidRPr="00B166EA">
              <w:rPr>
                <w:color w:val="auto"/>
              </w:rPr>
              <w:t>one-half. Demonstrate</w:t>
            </w:r>
            <w:r w:rsidR="00496B79" w:rsidRPr="00B166EA">
              <w:rPr>
                <w:color w:val="auto"/>
              </w:rPr>
              <w:t xml:space="preserve"> the next step </w:t>
            </w:r>
            <w:r w:rsidR="00DE1375" w:rsidRPr="00B166EA">
              <w:rPr>
                <w:color w:val="auto"/>
              </w:rPr>
              <w:t xml:space="preserve">by </w:t>
            </w:r>
            <w:r w:rsidR="00496B79" w:rsidRPr="00B166EA">
              <w:rPr>
                <w:color w:val="auto"/>
              </w:rPr>
              <w:t xml:space="preserve">splitting the </w:t>
            </w:r>
            <w:r w:rsidR="00DE1375" w:rsidRPr="00B166EA">
              <w:rPr>
                <w:color w:val="auto"/>
              </w:rPr>
              <w:t xml:space="preserve">one-half section of </w:t>
            </w:r>
            <w:r w:rsidR="00496B79" w:rsidRPr="00B166EA">
              <w:rPr>
                <w:color w:val="auto"/>
              </w:rPr>
              <w:t xml:space="preserve">candy into </w:t>
            </w:r>
            <w:r w:rsidR="00DE1375" w:rsidRPr="00B166EA">
              <w:rPr>
                <w:color w:val="auto"/>
              </w:rPr>
              <w:t>one-</w:t>
            </w:r>
            <w:r w:rsidR="00DE1375" w:rsidRPr="00B166EA">
              <w:rPr>
                <w:color w:val="auto"/>
              </w:rPr>
              <w:lastRenderedPageBreak/>
              <w:t>fourths</w:t>
            </w:r>
            <w:r w:rsidR="00496B79" w:rsidRPr="00B166EA">
              <w:rPr>
                <w:color w:val="auto"/>
              </w:rPr>
              <w:t>.</w:t>
            </w:r>
            <w:r w:rsidR="00CD05D8" w:rsidRPr="00B166EA">
              <w:rPr>
                <w:color w:val="auto"/>
              </w:rPr>
              <w:t xml:space="preserve"> Lead </w:t>
            </w:r>
            <w:r w:rsidR="00DE1375" w:rsidRPr="00B166EA">
              <w:rPr>
                <w:color w:val="auto"/>
              </w:rPr>
              <w:t xml:space="preserve">the </w:t>
            </w:r>
            <w:r w:rsidR="00CD05D8" w:rsidRPr="00B166EA">
              <w:rPr>
                <w:color w:val="auto"/>
              </w:rPr>
              <w:t>class to identify one-fourth and write the word and number symbol (¼).</w:t>
            </w:r>
            <w:r w:rsidR="00496B79" w:rsidRPr="00B166EA">
              <w:rPr>
                <w:color w:val="auto"/>
              </w:rPr>
              <w:t xml:space="preserve"> </w:t>
            </w:r>
            <w:r w:rsidR="00495270" w:rsidRPr="00B166EA">
              <w:rPr>
                <w:color w:val="auto"/>
              </w:rPr>
              <w:t>A</w:t>
            </w:r>
            <w:r w:rsidR="00496B79" w:rsidRPr="00B166EA">
              <w:rPr>
                <w:color w:val="auto"/>
              </w:rPr>
              <w:t>sk</w:t>
            </w:r>
            <w:r w:rsidR="00DE1375" w:rsidRPr="00B166EA">
              <w:rPr>
                <w:color w:val="auto"/>
              </w:rPr>
              <w:t>, “W</w:t>
            </w:r>
            <w:r w:rsidR="00496B79" w:rsidRPr="00B166EA">
              <w:rPr>
                <w:color w:val="auto"/>
              </w:rPr>
              <w:t>hich would you rather eat</w:t>
            </w:r>
            <w:r w:rsidR="00CD05D8" w:rsidRPr="00B166EA">
              <w:rPr>
                <w:color w:val="auto"/>
              </w:rPr>
              <w:t>,</w:t>
            </w:r>
            <w:r w:rsidR="00496B79" w:rsidRPr="00B166EA">
              <w:rPr>
                <w:color w:val="auto"/>
              </w:rPr>
              <w:t xml:space="preserve"> the </w:t>
            </w:r>
            <w:r w:rsidR="00DE1375" w:rsidRPr="00B166EA">
              <w:rPr>
                <w:color w:val="auto"/>
              </w:rPr>
              <w:t xml:space="preserve">one-fourth </w:t>
            </w:r>
            <w:r w:rsidR="00496B79" w:rsidRPr="00B166EA">
              <w:rPr>
                <w:color w:val="auto"/>
              </w:rPr>
              <w:t xml:space="preserve">or </w:t>
            </w:r>
            <w:r w:rsidR="00DE1375" w:rsidRPr="00B166EA">
              <w:rPr>
                <w:color w:val="auto"/>
              </w:rPr>
              <w:t xml:space="preserve">one-half </w:t>
            </w:r>
            <w:r w:rsidR="00CD05D8" w:rsidRPr="00B166EA">
              <w:rPr>
                <w:color w:val="auto"/>
              </w:rPr>
              <w:t>segment</w:t>
            </w:r>
            <w:r w:rsidR="00496B79" w:rsidRPr="00B166EA">
              <w:rPr>
                <w:color w:val="auto"/>
              </w:rPr>
              <w:t xml:space="preserve">? </w:t>
            </w:r>
            <w:r w:rsidR="00CD05D8" w:rsidRPr="00B166EA">
              <w:rPr>
                <w:color w:val="auto"/>
              </w:rPr>
              <w:t>Why?</w:t>
            </w:r>
            <w:r w:rsidR="00DE1375" w:rsidRPr="00B166EA">
              <w:rPr>
                <w:color w:val="auto"/>
              </w:rPr>
              <w:t>”</w:t>
            </w:r>
          </w:p>
        </w:tc>
        <w:tc>
          <w:tcPr>
            <w:tcW w:w="4309" w:type="dxa"/>
          </w:tcPr>
          <w:p w14:paraId="7D45A907" w14:textId="18F900BF" w:rsidR="00F8259B" w:rsidRDefault="00F8259B" w:rsidP="00B166EA">
            <w:pPr>
              <w:pStyle w:val="Normal1"/>
              <w:spacing w:after="120"/>
            </w:pPr>
            <w:r>
              <w:lastRenderedPageBreak/>
              <w:t xml:space="preserve">(2) </w:t>
            </w:r>
            <w:r w:rsidR="00496B79">
              <w:t xml:space="preserve">The SE takes the same </w:t>
            </w:r>
            <w:r>
              <w:t>size</w:t>
            </w:r>
            <w:r w:rsidR="00496B79">
              <w:t xml:space="preserve"> Hershey</w:t>
            </w:r>
            <w:r w:rsidR="00B40C20">
              <w:t>’s</w:t>
            </w:r>
            <w:r>
              <w:t xml:space="preserve"> </w:t>
            </w:r>
            <w:r w:rsidR="00DE1375">
              <w:t>chocolate</w:t>
            </w:r>
            <w:r w:rsidR="00496B79">
              <w:t xml:space="preserve"> bar and </w:t>
            </w:r>
            <w:r w:rsidR="00DE1375">
              <w:t xml:space="preserve">divides </w:t>
            </w:r>
            <w:r w:rsidR="00496B79">
              <w:t>it in</w:t>
            </w:r>
            <w:r>
              <w:t>to</w:t>
            </w:r>
            <w:r w:rsidR="00496B79">
              <w:t xml:space="preserve"> thirds</w:t>
            </w:r>
            <w:r>
              <w:t>.</w:t>
            </w:r>
            <w:r w:rsidR="00496B79">
              <w:t xml:space="preserve"> </w:t>
            </w:r>
            <w:r>
              <w:t xml:space="preserve">Ask, </w:t>
            </w:r>
            <w:r w:rsidR="00DE1375">
              <w:t xml:space="preserve">“Are </w:t>
            </w:r>
            <w:r w:rsidR="00495270">
              <w:t>the three parts of the bar the same size?</w:t>
            </w:r>
            <w:r w:rsidR="00DE1375">
              <w:t>”</w:t>
            </w:r>
            <w:r w:rsidR="00495270">
              <w:t xml:space="preserve"> (yes) Lead the class to identify each portion as </w:t>
            </w:r>
            <w:r w:rsidR="00DE1375">
              <w:t>one-</w:t>
            </w:r>
            <w:r w:rsidR="00495270">
              <w:t xml:space="preserve">third and write the word and symbol for one-third. </w:t>
            </w:r>
          </w:p>
          <w:p w14:paraId="74727411" w14:textId="058A21D3" w:rsidR="00EB40D2" w:rsidRDefault="00CD05D8" w:rsidP="00B166EA">
            <w:pPr>
              <w:pStyle w:val="Normal1"/>
              <w:spacing w:after="120"/>
            </w:pPr>
            <w:r>
              <w:t>Compare</w:t>
            </w:r>
            <w:r w:rsidR="00496B79">
              <w:t xml:space="preserve"> to the GE sections of the candy bar </w:t>
            </w:r>
            <w:r>
              <w:t xml:space="preserve">by laying all three pieces side-by-side. Lead students to make comparative </w:t>
            </w:r>
            <w:r>
              <w:lastRenderedPageBreak/>
              <w:t>statements about the three pieces of the same-size candy bar. Ask questions such as</w:t>
            </w:r>
            <w:r w:rsidR="00DE1375">
              <w:t xml:space="preserve">: </w:t>
            </w:r>
            <w:r w:rsidR="009A0182">
              <w:t>“</w:t>
            </w:r>
            <w:r>
              <w:t xml:space="preserve">Can you </w:t>
            </w:r>
            <w:r w:rsidR="00496B79">
              <w:t xml:space="preserve">cover up the </w:t>
            </w:r>
            <w:r w:rsidR="00DE1375">
              <w:t xml:space="preserve">one-third </w:t>
            </w:r>
            <w:r w:rsidR="009A0182">
              <w:t>with</w:t>
            </w:r>
            <w:r w:rsidR="00496B79">
              <w:t xml:space="preserve"> the </w:t>
            </w:r>
            <w:r w:rsidR="00DE1375">
              <w:t xml:space="preserve">one-fourth </w:t>
            </w:r>
            <w:r w:rsidR="009A0182">
              <w:t>piece?</w:t>
            </w:r>
            <w:r w:rsidR="00DE1375">
              <w:t>”</w:t>
            </w:r>
            <w:r w:rsidR="009A0182">
              <w:t xml:space="preserve"> (No, so </w:t>
            </w:r>
            <w:r w:rsidR="00DE1375">
              <w:t xml:space="preserve">one-third </w:t>
            </w:r>
            <w:r w:rsidR="009A0182">
              <w:t xml:space="preserve">is greater than </w:t>
            </w:r>
            <w:r w:rsidR="00DE1375">
              <w:t>one-fourth.) “</w:t>
            </w:r>
            <w:r w:rsidR="009A0182">
              <w:t xml:space="preserve">Can you cover </w:t>
            </w:r>
            <w:r w:rsidR="00DE1375">
              <w:t xml:space="preserve">one-third </w:t>
            </w:r>
            <w:r w:rsidR="009A0182">
              <w:t xml:space="preserve">with </w:t>
            </w:r>
            <w:r w:rsidR="00DE1375">
              <w:t xml:space="preserve">one-half?” </w:t>
            </w:r>
            <w:r w:rsidR="009A0182">
              <w:t xml:space="preserve">(Yes, so </w:t>
            </w:r>
            <w:r w:rsidR="00DE1375">
              <w:t xml:space="preserve">one-half </w:t>
            </w:r>
            <w:r w:rsidR="009A0182">
              <w:t xml:space="preserve">is larger or greater than </w:t>
            </w:r>
            <w:r w:rsidR="00DE1375">
              <w:t>one-third.)</w:t>
            </w:r>
          </w:p>
        </w:tc>
      </w:tr>
      <w:tr w:rsidR="00EB40D2" w14:paraId="76519DF2" w14:textId="77777777" w:rsidTr="00B166EA">
        <w:tc>
          <w:tcPr>
            <w:tcW w:w="2088" w:type="dxa"/>
          </w:tcPr>
          <w:p w14:paraId="34B77144" w14:textId="77777777" w:rsidR="00EB40D2" w:rsidRDefault="00496B79">
            <w:pPr>
              <w:pStyle w:val="Normal1"/>
              <w:rPr>
                <w:b/>
              </w:rPr>
            </w:pPr>
            <w:r>
              <w:rPr>
                <w:b/>
              </w:rPr>
              <w:lastRenderedPageBreak/>
              <w:t>Lesson Activities/ Procedures</w:t>
            </w:r>
          </w:p>
        </w:tc>
        <w:tc>
          <w:tcPr>
            <w:tcW w:w="2340" w:type="dxa"/>
          </w:tcPr>
          <w:p w14:paraId="7C811644" w14:textId="77777777" w:rsidR="00EB40D2" w:rsidRDefault="00496B79">
            <w:pPr>
              <w:pStyle w:val="Normal1"/>
            </w:pPr>
            <w:r>
              <w:t>One teach/one assist</w:t>
            </w:r>
          </w:p>
        </w:tc>
        <w:tc>
          <w:tcPr>
            <w:tcW w:w="4308" w:type="dxa"/>
          </w:tcPr>
          <w:p w14:paraId="72AC70AA" w14:textId="59AC534E" w:rsidR="00EB40D2" w:rsidRPr="00B166EA" w:rsidRDefault="00496B79" w:rsidP="00B166EA">
            <w:pPr>
              <w:pStyle w:val="Normal1"/>
              <w:spacing w:after="120"/>
              <w:rPr>
                <w:color w:val="auto"/>
              </w:rPr>
            </w:pPr>
            <w:r w:rsidRPr="00B166EA">
              <w:rPr>
                <w:color w:val="auto"/>
              </w:rPr>
              <w:t xml:space="preserve">The </w:t>
            </w:r>
            <w:r w:rsidR="00DE1375" w:rsidRPr="00B166EA">
              <w:rPr>
                <w:color w:val="auto"/>
              </w:rPr>
              <w:t xml:space="preserve">GE </w:t>
            </w:r>
            <w:r w:rsidRPr="00B166EA">
              <w:rPr>
                <w:color w:val="auto"/>
              </w:rPr>
              <w:t xml:space="preserve">explains that the students will be creating fraction strips to use during different </w:t>
            </w:r>
            <w:r w:rsidR="00DE1375" w:rsidRPr="00B166EA">
              <w:rPr>
                <w:color w:val="auto"/>
              </w:rPr>
              <w:t xml:space="preserve">mathematics </w:t>
            </w:r>
            <w:r w:rsidRPr="00B166EA">
              <w:rPr>
                <w:color w:val="auto"/>
              </w:rPr>
              <w:t xml:space="preserve">lessons with number sense. Students need to experience fractions by creating fraction strips in </w:t>
            </w:r>
            <w:r w:rsidR="00DE1375" w:rsidRPr="00B166EA">
              <w:rPr>
                <w:color w:val="auto"/>
              </w:rPr>
              <w:t xml:space="preserve">one-half, one-fourth, one-third, one-fifth, one-sixth, one-eighth, and one-tenth </w:t>
            </w:r>
            <w:r w:rsidRPr="00B166EA">
              <w:rPr>
                <w:color w:val="auto"/>
              </w:rPr>
              <w:t xml:space="preserve">with different colors of construction paper. </w:t>
            </w:r>
          </w:p>
          <w:p w14:paraId="5C6B1D5F" w14:textId="77777777" w:rsidR="00EB40D2" w:rsidRPr="00B166EA" w:rsidRDefault="00EB40D2" w:rsidP="00B166EA">
            <w:pPr>
              <w:pStyle w:val="Normal1"/>
              <w:spacing w:after="120"/>
              <w:rPr>
                <w:color w:val="auto"/>
              </w:rPr>
            </w:pPr>
          </w:p>
          <w:p w14:paraId="1452A9D8" w14:textId="13979D40" w:rsidR="00EB40D2" w:rsidRPr="00B166EA" w:rsidRDefault="00496B79" w:rsidP="00B166EA">
            <w:pPr>
              <w:pStyle w:val="Normal1"/>
              <w:spacing w:after="120"/>
              <w:rPr>
                <w:color w:val="auto"/>
              </w:rPr>
            </w:pPr>
            <w:r w:rsidRPr="00B166EA">
              <w:rPr>
                <w:color w:val="auto"/>
              </w:rPr>
              <w:t xml:space="preserve">Everyone gets </w:t>
            </w:r>
            <w:r w:rsidR="00B97D9B" w:rsidRPr="00B166EA">
              <w:rPr>
                <w:color w:val="auto"/>
              </w:rPr>
              <w:t>seven</w:t>
            </w:r>
            <w:r w:rsidRPr="00B166EA">
              <w:rPr>
                <w:color w:val="auto"/>
              </w:rPr>
              <w:t xml:space="preserve"> strips of different colors of construction paper</w:t>
            </w:r>
            <w:r w:rsidR="009A0182" w:rsidRPr="00B166EA">
              <w:rPr>
                <w:color w:val="auto"/>
              </w:rPr>
              <w:t xml:space="preserve"> and will need a pencil and scissors.</w:t>
            </w:r>
          </w:p>
          <w:p w14:paraId="424A7F43" w14:textId="4304CF5F" w:rsidR="00EB40D2" w:rsidRPr="00B166EA" w:rsidRDefault="00496B79" w:rsidP="00B166EA">
            <w:pPr>
              <w:pStyle w:val="Normal1"/>
              <w:spacing w:after="120"/>
              <w:rPr>
                <w:color w:val="auto"/>
              </w:rPr>
            </w:pPr>
            <w:r w:rsidRPr="00B166EA">
              <w:rPr>
                <w:color w:val="auto"/>
              </w:rPr>
              <w:t>First instruct students to label the red strip that represents the whole</w:t>
            </w:r>
            <w:r w:rsidR="009A0182" w:rsidRPr="00B166EA">
              <w:rPr>
                <w:color w:val="auto"/>
              </w:rPr>
              <w:t xml:space="preserve"> (whole = 1)</w:t>
            </w:r>
            <w:r w:rsidR="00DE1375" w:rsidRPr="00B166EA">
              <w:rPr>
                <w:color w:val="auto"/>
              </w:rPr>
              <w:t>.</w:t>
            </w:r>
          </w:p>
          <w:p w14:paraId="3F01053B" w14:textId="77777777" w:rsidR="00EB40D2" w:rsidRPr="00B166EA" w:rsidRDefault="00496B79" w:rsidP="00B166EA">
            <w:pPr>
              <w:pStyle w:val="Normal1"/>
              <w:spacing w:after="120"/>
              <w:rPr>
                <w:color w:val="auto"/>
              </w:rPr>
            </w:pPr>
            <w:r w:rsidRPr="00B166EA">
              <w:rPr>
                <w:color w:val="auto"/>
              </w:rPr>
              <w:t xml:space="preserve">Next have the students fold the blue strips </w:t>
            </w:r>
            <w:r w:rsidRPr="00B166EA">
              <w:rPr>
                <w:color w:val="auto"/>
              </w:rPr>
              <w:lastRenderedPageBreak/>
              <w:t xml:space="preserve">in half and then cut down the center. </w:t>
            </w:r>
          </w:p>
          <w:p w14:paraId="1E1B64D6" w14:textId="15BD9425" w:rsidR="00EB40D2" w:rsidRPr="00B166EA" w:rsidRDefault="00496B79" w:rsidP="00B166EA">
            <w:pPr>
              <w:pStyle w:val="Normal1"/>
              <w:spacing w:after="120"/>
              <w:rPr>
                <w:color w:val="auto"/>
              </w:rPr>
            </w:pPr>
            <w:r w:rsidRPr="00B166EA">
              <w:rPr>
                <w:color w:val="auto"/>
              </w:rPr>
              <w:t xml:space="preserve">Indicate that the two equal </w:t>
            </w:r>
            <w:r w:rsidR="009A0182" w:rsidRPr="00B166EA">
              <w:rPr>
                <w:color w:val="auto"/>
              </w:rPr>
              <w:t>halves</w:t>
            </w:r>
            <w:r w:rsidRPr="00B166EA">
              <w:rPr>
                <w:color w:val="auto"/>
              </w:rPr>
              <w:t xml:space="preserve"> are congruent. Remind students what congruent means or introduce this vocabulary term.</w:t>
            </w:r>
          </w:p>
          <w:p w14:paraId="1BF82A3B" w14:textId="314863E3" w:rsidR="00EB40D2" w:rsidRPr="00B166EA" w:rsidRDefault="00496B79" w:rsidP="00B166EA">
            <w:pPr>
              <w:pStyle w:val="Normal1"/>
              <w:spacing w:after="120"/>
              <w:rPr>
                <w:color w:val="auto"/>
              </w:rPr>
            </w:pPr>
            <w:r w:rsidRPr="00B166EA">
              <w:rPr>
                <w:color w:val="auto"/>
              </w:rPr>
              <w:t xml:space="preserve">Indicate how students need to label both the </w:t>
            </w:r>
            <w:r w:rsidR="00DE1375" w:rsidRPr="00B166EA">
              <w:rPr>
                <w:color w:val="auto"/>
              </w:rPr>
              <w:t xml:space="preserve">halves of the </w:t>
            </w:r>
            <w:r w:rsidRPr="00B166EA">
              <w:rPr>
                <w:color w:val="auto"/>
              </w:rPr>
              <w:t>blue sheets.</w:t>
            </w:r>
            <w:r w:rsidR="00C2604F">
              <w:rPr>
                <w:color w:val="auto"/>
              </w:rPr>
              <w:t xml:space="preserve"> </w:t>
            </w:r>
            <w:r w:rsidR="00765714" w:rsidRPr="00B166EA">
              <w:rPr>
                <w:color w:val="auto"/>
              </w:rPr>
              <w:t>Have students lay the blue strips directly under the red (whole) strip. Ask them to compare the size of the strips. (</w:t>
            </w:r>
            <w:r w:rsidR="00DE1375" w:rsidRPr="00B166EA">
              <w:rPr>
                <w:color w:val="auto"/>
              </w:rPr>
              <w:t xml:space="preserve">GE </w:t>
            </w:r>
            <w:r w:rsidR="00765714" w:rsidRPr="00B166EA">
              <w:rPr>
                <w:color w:val="auto"/>
              </w:rPr>
              <w:t>should monitor the cutting of the strips. It is imperative that the pieces be cut as precisely as possible</w:t>
            </w:r>
            <w:r w:rsidR="00DE1375" w:rsidRPr="00B166EA">
              <w:rPr>
                <w:color w:val="auto"/>
              </w:rPr>
              <w:t>,</w:t>
            </w:r>
            <w:r w:rsidR="00765714" w:rsidRPr="00B166EA">
              <w:rPr>
                <w:color w:val="auto"/>
              </w:rPr>
              <w:t xml:space="preserve"> </w:t>
            </w:r>
            <w:r w:rsidR="00DE1375" w:rsidRPr="00B166EA">
              <w:rPr>
                <w:color w:val="auto"/>
              </w:rPr>
              <w:t xml:space="preserve">because </w:t>
            </w:r>
            <w:r w:rsidR="00765714" w:rsidRPr="00B166EA">
              <w:rPr>
                <w:color w:val="auto"/>
              </w:rPr>
              <w:t>like fractions are equivalent.)</w:t>
            </w:r>
          </w:p>
          <w:p w14:paraId="0B8C97BA" w14:textId="0D549896" w:rsidR="00EB40D2" w:rsidRPr="00B166EA" w:rsidRDefault="00496B79" w:rsidP="00B166EA">
            <w:pPr>
              <w:pStyle w:val="Normal1"/>
              <w:spacing w:after="120"/>
              <w:rPr>
                <w:color w:val="auto"/>
              </w:rPr>
            </w:pPr>
            <w:r w:rsidRPr="00B166EA">
              <w:rPr>
                <w:color w:val="auto"/>
              </w:rPr>
              <w:t>Repeat this process using the green strips for fourths</w:t>
            </w:r>
            <w:r w:rsidR="00765714" w:rsidRPr="00B166EA">
              <w:rPr>
                <w:color w:val="auto"/>
              </w:rPr>
              <w:t>, yellow strips for eighths, and purple for thirds. With each step, be sure to ask critical questions so students will develop their understanding of comparing fractions related to the same whole</w:t>
            </w:r>
            <w:r w:rsidRPr="00B166EA">
              <w:rPr>
                <w:color w:val="auto"/>
              </w:rPr>
              <w:t>.</w:t>
            </w:r>
          </w:p>
          <w:p w14:paraId="2BA5662E" w14:textId="5C630CD8" w:rsidR="00EB40D2" w:rsidRPr="00B166EA" w:rsidRDefault="00B97D9B" w:rsidP="00B166EA">
            <w:pPr>
              <w:pStyle w:val="Normal1"/>
              <w:spacing w:after="120"/>
              <w:rPr>
                <w:color w:val="auto"/>
              </w:rPr>
            </w:pPr>
            <w:r w:rsidRPr="00B166EA">
              <w:rPr>
                <w:color w:val="auto"/>
              </w:rPr>
              <w:t>Ask student to think about how they might be able to create sixths from the pink strip. (Lead them to see that thirds can be cut in half to make sixths. Repeat the folding for thirds on the pink, fold one more time to have sixths.)</w:t>
            </w:r>
          </w:p>
          <w:p w14:paraId="57F8DC8C" w14:textId="48A3C27B" w:rsidR="00EB40D2" w:rsidRPr="00B166EA" w:rsidRDefault="002D0B08" w:rsidP="00B166EA">
            <w:pPr>
              <w:pStyle w:val="Normal1"/>
              <w:spacing w:after="120"/>
              <w:rPr>
                <w:color w:val="auto"/>
              </w:rPr>
            </w:pPr>
            <w:r w:rsidRPr="00B166EA">
              <w:rPr>
                <w:color w:val="auto"/>
              </w:rPr>
              <w:t xml:space="preserve">You might want to demonstrate how to divide </w:t>
            </w:r>
            <w:r w:rsidR="00B97D9B" w:rsidRPr="00B166EA">
              <w:rPr>
                <w:color w:val="auto"/>
              </w:rPr>
              <w:t>f</w:t>
            </w:r>
            <w:r w:rsidRPr="00B166EA">
              <w:rPr>
                <w:color w:val="auto"/>
              </w:rPr>
              <w:t>i</w:t>
            </w:r>
            <w:r w:rsidR="00B97D9B" w:rsidRPr="00B166EA">
              <w:rPr>
                <w:color w:val="auto"/>
              </w:rPr>
              <w:t>fths i</w:t>
            </w:r>
            <w:r w:rsidRPr="00B166EA">
              <w:rPr>
                <w:color w:val="auto"/>
              </w:rPr>
              <w:t xml:space="preserve">nto </w:t>
            </w:r>
            <w:r w:rsidR="00B97D9B" w:rsidRPr="00B166EA">
              <w:rPr>
                <w:color w:val="auto"/>
              </w:rPr>
              <w:t>tenths</w:t>
            </w:r>
            <w:r w:rsidRPr="00B166EA">
              <w:rPr>
                <w:color w:val="auto"/>
              </w:rPr>
              <w:t xml:space="preserve">, </w:t>
            </w:r>
            <w:r w:rsidR="00B97D9B" w:rsidRPr="00B166EA">
              <w:rPr>
                <w:color w:val="auto"/>
              </w:rPr>
              <w:t>or you will give students premeasured strips to cut and label.</w:t>
            </w:r>
          </w:p>
        </w:tc>
        <w:tc>
          <w:tcPr>
            <w:tcW w:w="4309" w:type="dxa"/>
          </w:tcPr>
          <w:p w14:paraId="3B1A4EF6" w14:textId="65DB14B0" w:rsidR="00EB40D2" w:rsidRDefault="00496B79" w:rsidP="00B166EA">
            <w:pPr>
              <w:pStyle w:val="Normal1"/>
              <w:spacing w:before="1440" w:after="120"/>
            </w:pPr>
            <w:r>
              <w:lastRenderedPageBreak/>
              <w:t xml:space="preserve">While the GE teacher </w:t>
            </w:r>
            <w:r w:rsidR="00DE1375">
              <w:t>explains</w:t>
            </w:r>
            <w:r>
              <w:t xml:space="preserve"> the supplies that will be used for the lesson</w:t>
            </w:r>
            <w:r w:rsidR="00DE1375">
              <w:t>,</w:t>
            </w:r>
            <w:r>
              <w:t xml:space="preserve"> the SE teacher gives all students </w:t>
            </w:r>
            <w:r w:rsidR="00B97D9B">
              <w:t>seven</w:t>
            </w:r>
            <w:r>
              <w:t xml:space="preserve"> strips of </w:t>
            </w:r>
            <w:r w:rsidR="00DE1375">
              <w:t>different-</w:t>
            </w:r>
            <w:r>
              <w:t>colored construction paper, scissors and a marker.</w:t>
            </w:r>
          </w:p>
          <w:p w14:paraId="7B540A5B" w14:textId="5BEB8ED5" w:rsidR="00EB40D2" w:rsidRDefault="00496B79" w:rsidP="00B166EA">
            <w:pPr>
              <w:pStyle w:val="Normal1"/>
              <w:spacing w:after="240"/>
            </w:pPr>
            <w:r>
              <w:t xml:space="preserve">SE </w:t>
            </w:r>
            <w:r w:rsidR="00DE1375">
              <w:t>helps</w:t>
            </w:r>
            <w:r>
              <w:t xml:space="preserve"> specific students mark and cut their fraction strips as the GE explains step by step. SE assists any student that has difficulty keeping up with the different steps.</w:t>
            </w:r>
          </w:p>
          <w:p w14:paraId="621E40D7" w14:textId="6CBB9131" w:rsidR="00EB40D2" w:rsidRDefault="00496B79" w:rsidP="00B166EA">
            <w:pPr>
              <w:pStyle w:val="Normal1"/>
              <w:spacing w:after="360"/>
            </w:pPr>
            <w:r>
              <w:t>SE demonstrate</w:t>
            </w:r>
            <w:r w:rsidR="00DE1375">
              <w:t>s</w:t>
            </w:r>
            <w:r w:rsidR="00A73518">
              <w:t xml:space="preserve"> similar items</w:t>
            </w:r>
            <w:r>
              <w:t xml:space="preserve"> that are congruent</w:t>
            </w:r>
            <w:r w:rsidR="00DE1375">
              <w:t>,</w:t>
            </w:r>
            <w:r>
              <w:t xml:space="preserve"> such as two books in the class </w:t>
            </w:r>
            <w:r>
              <w:lastRenderedPageBreak/>
              <w:t>that are same size.</w:t>
            </w:r>
          </w:p>
          <w:p w14:paraId="453DE0A0" w14:textId="7A15EADB" w:rsidR="003C6245" w:rsidRDefault="00496B79" w:rsidP="00B166EA">
            <w:pPr>
              <w:pStyle w:val="Normal1"/>
              <w:spacing w:after="720"/>
            </w:pPr>
            <w:r>
              <w:t xml:space="preserve">SE will ask how many </w:t>
            </w:r>
            <w:r w:rsidR="00DE1375">
              <w:t xml:space="preserve">half </w:t>
            </w:r>
            <w:r>
              <w:t>sheets it takes to cover the red whole. Have all students show this concept.</w:t>
            </w:r>
            <w:r w:rsidR="0026052A" w:rsidDel="0026052A">
              <w:t xml:space="preserve"> </w:t>
            </w:r>
          </w:p>
          <w:p w14:paraId="4A7DFDEE" w14:textId="35DFCF0B" w:rsidR="00EB40D2" w:rsidRDefault="00496B79" w:rsidP="00B166EA">
            <w:pPr>
              <w:pStyle w:val="Normal1"/>
              <w:spacing w:after="720"/>
            </w:pPr>
            <w:r>
              <w:t>SE continues to assist students that need extra assistance in following the sequential steps.</w:t>
            </w:r>
          </w:p>
          <w:p w14:paraId="1B8271BA" w14:textId="68F0DC8E" w:rsidR="00EB40D2" w:rsidRDefault="00496B79" w:rsidP="00B166EA">
            <w:pPr>
              <w:pStyle w:val="Normal1"/>
              <w:spacing w:after="120"/>
            </w:pPr>
            <w:r>
              <w:t>SE continues to assist students that need extra help in grasping the concept of covering the appropriate fraction strips with the appropriate amount.</w:t>
            </w:r>
          </w:p>
        </w:tc>
      </w:tr>
      <w:tr w:rsidR="00EB40D2" w14:paraId="1A96E9F2" w14:textId="77777777" w:rsidTr="00B166EA">
        <w:tc>
          <w:tcPr>
            <w:tcW w:w="2088" w:type="dxa"/>
          </w:tcPr>
          <w:p w14:paraId="342541A7" w14:textId="4DC548CE" w:rsidR="00EB40D2" w:rsidRDefault="00496B79">
            <w:pPr>
              <w:pStyle w:val="Normal1"/>
              <w:rPr>
                <w:b/>
              </w:rPr>
            </w:pPr>
            <w:r>
              <w:rPr>
                <w:b/>
              </w:rPr>
              <w:lastRenderedPageBreak/>
              <w:t>Guided/</w:t>
            </w:r>
            <w:r w:rsidR="00EA5BE8">
              <w:rPr>
                <w:b/>
              </w:rPr>
              <w:br/>
            </w:r>
            <w:r>
              <w:rPr>
                <w:b/>
              </w:rPr>
              <w:t>Independent Practice</w:t>
            </w:r>
          </w:p>
        </w:tc>
        <w:tc>
          <w:tcPr>
            <w:tcW w:w="2340" w:type="dxa"/>
          </w:tcPr>
          <w:p w14:paraId="14547D83" w14:textId="6D566D92" w:rsidR="00EB40D2" w:rsidRDefault="00BD7273">
            <w:pPr>
              <w:pStyle w:val="Normal1"/>
            </w:pPr>
            <w:r>
              <w:t>Team Teaching</w:t>
            </w:r>
          </w:p>
        </w:tc>
        <w:tc>
          <w:tcPr>
            <w:tcW w:w="4308" w:type="dxa"/>
          </w:tcPr>
          <w:p w14:paraId="54812A74" w14:textId="6769ECCC" w:rsidR="00BD7273" w:rsidRPr="00B166EA" w:rsidRDefault="00BD7273" w:rsidP="00B166EA">
            <w:pPr>
              <w:pStyle w:val="Normal1"/>
              <w:numPr>
                <w:ilvl w:val="0"/>
                <w:numId w:val="9"/>
              </w:numPr>
              <w:spacing w:after="120"/>
              <w:rPr>
                <w:color w:val="auto"/>
              </w:rPr>
            </w:pPr>
            <w:r w:rsidRPr="00B166EA">
              <w:rPr>
                <w:color w:val="auto"/>
              </w:rPr>
              <w:t xml:space="preserve">Divide </w:t>
            </w:r>
            <w:r w:rsidR="00DE1375" w:rsidRPr="00B166EA">
              <w:rPr>
                <w:color w:val="auto"/>
              </w:rPr>
              <w:t xml:space="preserve">the </w:t>
            </w:r>
            <w:r w:rsidRPr="00B166EA">
              <w:rPr>
                <w:color w:val="auto"/>
              </w:rPr>
              <w:t xml:space="preserve">class into teams of two to explore and compare their fraction strips. Player </w:t>
            </w:r>
            <w:r w:rsidR="00DE1375" w:rsidRPr="00B166EA">
              <w:rPr>
                <w:color w:val="auto"/>
              </w:rPr>
              <w:t xml:space="preserve">1 </w:t>
            </w:r>
            <w:r w:rsidRPr="00B166EA">
              <w:rPr>
                <w:color w:val="auto"/>
              </w:rPr>
              <w:t xml:space="preserve">selects a fraction piece from his/her baggie and asks his/her partner to find a fraction that is greater than, equal to, or less than his/her piece. Player </w:t>
            </w:r>
            <w:r w:rsidR="00DE1375" w:rsidRPr="00B166EA">
              <w:rPr>
                <w:color w:val="auto"/>
              </w:rPr>
              <w:t xml:space="preserve">2 </w:t>
            </w:r>
            <w:r w:rsidRPr="00B166EA">
              <w:rPr>
                <w:color w:val="auto"/>
              </w:rPr>
              <w:t>then chooses a fraction strip for his/her partner to find strips to compare in the same manner. Continue this for 10-15 minutes. GE walks around and monitors conversations to make sure students are making correct comparisons.</w:t>
            </w:r>
          </w:p>
          <w:p w14:paraId="5AD211F1" w14:textId="13E6083B" w:rsidR="00EB40D2" w:rsidRPr="00B166EA" w:rsidRDefault="00496B79" w:rsidP="00B166EA">
            <w:pPr>
              <w:pStyle w:val="Normal1"/>
              <w:numPr>
                <w:ilvl w:val="0"/>
                <w:numId w:val="9"/>
              </w:numPr>
              <w:spacing w:after="120"/>
              <w:rPr>
                <w:color w:val="auto"/>
              </w:rPr>
            </w:pPr>
            <w:r w:rsidRPr="00B166EA">
              <w:rPr>
                <w:color w:val="auto"/>
              </w:rPr>
              <w:t xml:space="preserve">Explain the comparison fraction game of </w:t>
            </w:r>
            <w:r w:rsidR="00A84AAC" w:rsidRPr="00B166EA">
              <w:rPr>
                <w:color w:val="auto"/>
              </w:rPr>
              <w:t>“</w:t>
            </w:r>
            <w:r w:rsidRPr="00B166EA">
              <w:rPr>
                <w:color w:val="auto"/>
              </w:rPr>
              <w:t>Mine’s Bigger</w:t>
            </w:r>
            <w:r w:rsidR="00A84AAC" w:rsidRPr="00B166EA">
              <w:rPr>
                <w:color w:val="auto"/>
              </w:rPr>
              <w:t>!</w:t>
            </w:r>
            <w:proofErr w:type="gramStart"/>
            <w:r w:rsidR="00A84AAC" w:rsidRPr="00B166EA">
              <w:rPr>
                <w:color w:val="auto"/>
              </w:rPr>
              <w:t>”</w:t>
            </w:r>
            <w:r w:rsidRPr="00B166EA">
              <w:rPr>
                <w:color w:val="auto"/>
              </w:rPr>
              <w:t>.</w:t>
            </w:r>
            <w:proofErr w:type="gramEnd"/>
            <w:r w:rsidRPr="00B166EA">
              <w:rPr>
                <w:color w:val="auto"/>
              </w:rPr>
              <w:t xml:space="preserve"> Divide students into two</w:t>
            </w:r>
            <w:r w:rsidR="00A84AAC" w:rsidRPr="00B166EA">
              <w:rPr>
                <w:color w:val="auto"/>
              </w:rPr>
              <w:t>-</w:t>
            </w:r>
            <w:r w:rsidRPr="00B166EA">
              <w:rPr>
                <w:color w:val="auto"/>
              </w:rPr>
              <w:t>person teams. There are pre-cut fraction cards in a small paper bag for students to draw for</w:t>
            </w:r>
            <w:r w:rsidR="00A84AAC" w:rsidRPr="00B166EA">
              <w:rPr>
                <w:color w:val="auto"/>
              </w:rPr>
              <w:t xml:space="preserve"> the</w:t>
            </w:r>
            <w:r w:rsidRPr="00B166EA">
              <w:rPr>
                <w:color w:val="auto"/>
              </w:rPr>
              <w:t xml:space="preserve"> game. Player </w:t>
            </w:r>
            <w:r w:rsidR="00A84AAC" w:rsidRPr="00B166EA">
              <w:rPr>
                <w:color w:val="auto"/>
              </w:rPr>
              <w:t>1</w:t>
            </w:r>
            <w:r w:rsidRPr="00B166EA">
              <w:rPr>
                <w:color w:val="auto"/>
              </w:rPr>
              <w:t xml:space="preserve"> draws a fraction from the bag</w:t>
            </w:r>
            <w:r w:rsidR="0026052A" w:rsidRPr="00B166EA">
              <w:rPr>
                <w:color w:val="auto"/>
              </w:rPr>
              <w:t>,</w:t>
            </w:r>
            <w:r w:rsidRPr="00B166EA">
              <w:rPr>
                <w:color w:val="auto"/>
              </w:rPr>
              <w:t xml:space="preserve"> and both players record the fraction </w:t>
            </w:r>
            <w:r w:rsidR="0026052A" w:rsidRPr="00B166EA">
              <w:rPr>
                <w:color w:val="auto"/>
              </w:rPr>
              <w:t xml:space="preserve">in </w:t>
            </w:r>
            <w:r w:rsidRPr="00B166EA">
              <w:rPr>
                <w:color w:val="auto"/>
              </w:rPr>
              <w:t>column 1. Player 2 draws a fraction card from the bag</w:t>
            </w:r>
            <w:r w:rsidR="0026052A" w:rsidRPr="00B166EA">
              <w:rPr>
                <w:color w:val="auto"/>
              </w:rPr>
              <w:t>,</w:t>
            </w:r>
            <w:r w:rsidRPr="00B166EA">
              <w:rPr>
                <w:color w:val="auto"/>
              </w:rPr>
              <w:t xml:space="preserve"> and both players write the fraction </w:t>
            </w:r>
            <w:r w:rsidR="0026052A" w:rsidRPr="00B166EA">
              <w:rPr>
                <w:color w:val="auto"/>
              </w:rPr>
              <w:t>in column 3</w:t>
            </w:r>
            <w:r w:rsidRPr="00B166EA">
              <w:rPr>
                <w:color w:val="auto"/>
              </w:rPr>
              <w:t>. Both players must use the symbols &lt;</w:t>
            </w:r>
            <w:r w:rsidR="0026052A" w:rsidRPr="00B166EA">
              <w:rPr>
                <w:color w:val="auto"/>
              </w:rPr>
              <w:t>,</w:t>
            </w:r>
            <w:r w:rsidRPr="00B166EA">
              <w:rPr>
                <w:color w:val="auto"/>
              </w:rPr>
              <w:t xml:space="preserve"> &gt;</w:t>
            </w:r>
            <w:r w:rsidR="0026052A" w:rsidRPr="00B166EA">
              <w:rPr>
                <w:color w:val="auto"/>
              </w:rPr>
              <w:t>,</w:t>
            </w:r>
            <w:r w:rsidRPr="00B166EA">
              <w:rPr>
                <w:color w:val="auto"/>
              </w:rPr>
              <w:t xml:space="preserve"> or = to compare the fractions and </w:t>
            </w:r>
            <w:r w:rsidR="00A84AAC" w:rsidRPr="00B166EA">
              <w:rPr>
                <w:color w:val="auto"/>
              </w:rPr>
              <w:t>decide</w:t>
            </w:r>
            <w:r w:rsidRPr="00B166EA">
              <w:rPr>
                <w:color w:val="auto"/>
              </w:rPr>
              <w:t xml:space="preserve"> which one is </w:t>
            </w:r>
            <w:r w:rsidR="0026052A" w:rsidRPr="00B166EA">
              <w:rPr>
                <w:color w:val="auto"/>
              </w:rPr>
              <w:t xml:space="preserve">larger </w:t>
            </w:r>
            <w:r w:rsidRPr="00B166EA">
              <w:rPr>
                <w:color w:val="auto"/>
              </w:rPr>
              <w:t xml:space="preserve">by documenting the answer in the </w:t>
            </w:r>
            <w:r w:rsidR="0026052A" w:rsidRPr="00B166EA">
              <w:rPr>
                <w:color w:val="auto"/>
              </w:rPr>
              <w:t xml:space="preserve">fourth </w:t>
            </w:r>
            <w:r w:rsidRPr="00B166EA">
              <w:rPr>
                <w:color w:val="auto"/>
              </w:rPr>
              <w:t>column.</w:t>
            </w:r>
            <w:r w:rsidR="00C2604F">
              <w:rPr>
                <w:color w:val="auto"/>
              </w:rPr>
              <w:t xml:space="preserve"> </w:t>
            </w:r>
            <w:r w:rsidRPr="00B166EA">
              <w:rPr>
                <w:color w:val="auto"/>
              </w:rPr>
              <w:t xml:space="preserve">The player with the </w:t>
            </w:r>
            <w:r w:rsidR="0026052A" w:rsidRPr="00B166EA">
              <w:rPr>
                <w:color w:val="auto"/>
              </w:rPr>
              <w:t xml:space="preserve">larger </w:t>
            </w:r>
            <w:r w:rsidRPr="00B166EA">
              <w:rPr>
                <w:color w:val="auto"/>
              </w:rPr>
              <w:t>fraction answer will receive the point.</w:t>
            </w:r>
            <w:r w:rsidR="00C2604F">
              <w:rPr>
                <w:color w:val="auto"/>
              </w:rPr>
              <w:t xml:space="preserve"> </w:t>
            </w:r>
            <w:r w:rsidRPr="00B166EA">
              <w:rPr>
                <w:color w:val="auto"/>
              </w:rPr>
              <w:t>If the fractions end up being equal</w:t>
            </w:r>
            <w:r w:rsidR="0026052A" w:rsidRPr="00B166EA">
              <w:rPr>
                <w:color w:val="auto"/>
              </w:rPr>
              <w:t>,</w:t>
            </w:r>
            <w:r w:rsidRPr="00B166EA">
              <w:rPr>
                <w:color w:val="auto"/>
              </w:rPr>
              <w:t xml:space="preserve"> no point is given. The player to reach 10 points first is the winner of the game.</w:t>
            </w:r>
          </w:p>
        </w:tc>
        <w:tc>
          <w:tcPr>
            <w:tcW w:w="4309" w:type="dxa"/>
          </w:tcPr>
          <w:p w14:paraId="072B082F" w14:textId="4499BE1F" w:rsidR="00BD7273" w:rsidRDefault="00BD7273" w:rsidP="00B166EA">
            <w:pPr>
              <w:pStyle w:val="Normal1"/>
              <w:numPr>
                <w:ilvl w:val="0"/>
                <w:numId w:val="10"/>
              </w:numPr>
              <w:spacing w:after="2640"/>
            </w:pPr>
            <w:r>
              <w:t xml:space="preserve">SE </w:t>
            </w:r>
            <w:r w:rsidR="0026052A">
              <w:t>monitors</w:t>
            </w:r>
            <w:r>
              <w:t xml:space="preserve"> students who may have difficulty following the directions for comparing fractions with their partner, </w:t>
            </w:r>
            <w:r w:rsidR="0026052A" w:rsidRPr="00B166EA">
              <w:rPr>
                <w:i/>
              </w:rPr>
              <w:t>or</w:t>
            </w:r>
            <w:r w:rsidR="0026052A">
              <w:t xml:space="preserve"> the </w:t>
            </w:r>
            <w:r>
              <w:t>SE may pull a small group of students to play the game with the SE.</w:t>
            </w:r>
          </w:p>
          <w:p w14:paraId="590E13D4" w14:textId="2E7B08BB" w:rsidR="00EB40D2" w:rsidRDefault="00496B79" w:rsidP="00B166EA">
            <w:pPr>
              <w:pStyle w:val="Normal1"/>
              <w:numPr>
                <w:ilvl w:val="0"/>
                <w:numId w:val="10"/>
              </w:numPr>
              <w:spacing w:after="240"/>
            </w:pPr>
            <w:r>
              <w:t xml:space="preserve">SE teacher points to and guides using the comparison fraction game of </w:t>
            </w:r>
            <w:r w:rsidR="00A84AAC">
              <w:t>“</w:t>
            </w:r>
            <w:r>
              <w:t>Mine’s Bigger</w:t>
            </w:r>
            <w:r w:rsidR="00A84AAC">
              <w:t>!”</w:t>
            </w:r>
            <w:r>
              <w:t xml:space="preserve"> and </w:t>
            </w:r>
            <w:r w:rsidR="0026052A">
              <w:t>compares</w:t>
            </w:r>
            <w:r>
              <w:t xml:space="preserve"> using a record sheet given to every two</w:t>
            </w:r>
            <w:r w:rsidR="00A84AAC">
              <w:t>-</w:t>
            </w:r>
            <w:r>
              <w:t>person team with students</w:t>
            </w:r>
            <w:r w:rsidR="00A84AAC">
              <w:t>.</w:t>
            </w:r>
          </w:p>
          <w:p w14:paraId="0C1B9E5C" w14:textId="54FDCFD8" w:rsidR="00EB40D2" w:rsidRDefault="00496B79" w:rsidP="00B166EA">
            <w:pPr>
              <w:pStyle w:val="Normal1"/>
              <w:numPr>
                <w:ilvl w:val="0"/>
                <w:numId w:val="10"/>
              </w:numPr>
              <w:spacing w:after="120"/>
            </w:pPr>
            <w:r>
              <w:t xml:space="preserve">SE teacher stays with the groups that do not grasp smaller or larger fractions and </w:t>
            </w:r>
            <w:r w:rsidR="0026052A">
              <w:t>reinforces</w:t>
            </w:r>
            <w:r>
              <w:t xml:space="preserve"> the correct answers.</w:t>
            </w:r>
          </w:p>
        </w:tc>
      </w:tr>
      <w:tr w:rsidR="00EB40D2" w14:paraId="7A966046" w14:textId="77777777" w:rsidTr="00B166EA">
        <w:tc>
          <w:tcPr>
            <w:tcW w:w="2088" w:type="dxa"/>
          </w:tcPr>
          <w:p w14:paraId="2A999712" w14:textId="77777777" w:rsidR="00EB40D2" w:rsidRDefault="00496B79">
            <w:pPr>
              <w:pStyle w:val="Normal1"/>
              <w:rPr>
                <w:b/>
              </w:rPr>
            </w:pPr>
            <w:r>
              <w:rPr>
                <w:b/>
              </w:rPr>
              <w:t>Closure</w:t>
            </w:r>
          </w:p>
        </w:tc>
        <w:tc>
          <w:tcPr>
            <w:tcW w:w="2340" w:type="dxa"/>
          </w:tcPr>
          <w:p w14:paraId="6145632E" w14:textId="77777777" w:rsidR="00EB40D2" w:rsidRDefault="00EB40D2">
            <w:pPr>
              <w:pStyle w:val="Normal1"/>
            </w:pPr>
          </w:p>
        </w:tc>
        <w:tc>
          <w:tcPr>
            <w:tcW w:w="4308" w:type="dxa"/>
          </w:tcPr>
          <w:p w14:paraId="55A01E95" w14:textId="3741AC8D" w:rsidR="00A83D39" w:rsidRPr="00B166EA" w:rsidRDefault="00496B79" w:rsidP="00B166EA">
            <w:pPr>
              <w:pStyle w:val="Normal1"/>
              <w:spacing w:after="120"/>
              <w:rPr>
                <w:color w:val="auto"/>
              </w:rPr>
            </w:pPr>
            <w:r w:rsidRPr="00B166EA">
              <w:rPr>
                <w:color w:val="auto"/>
              </w:rPr>
              <w:t xml:space="preserve">Show how the fractions have different denominators. </w:t>
            </w:r>
            <w:r w:rsidR="00A83D39" w:rsidRPr="00B166EA">
              <w:rPr>
                <w:color w:val="auto"/>
              </w:rPr>
              <w:t xml:space="preserve">Ask students to make observations about the numerators and denominators of the strips they made today. If no one states it, lead students to see that the denominator tells how many equal parts are in the whole, and the smaller the denominator, the smaller the parts will be. This is different than </w:t>
            </w:r>
            <w:r w:rsidR="0026052A" w:rsidRPr="00B166EA">
              <w:rPr>
                <w:color w:val="auto"/>
              </w:rPr>
              <w:t>whole-</w:t>
            </w:r>
            <w:r w:rsidR="00A83D39" w:rsidRPr="00B166EA">
              <w:rPr>
                <w:color w:val="auto"/>
              </w:rPr>
              <w:t xml:space="preserve">number comparisons. (Students often have the misconception that </w:t>
            </w:r>
            <w:r w:rsidR="0026052A" w:rsidRPr="00B166EA">
              <w:rPr>
                <w:color w:val="auto"/>
              </w:rPr>
              <w:t>one-eighth</w:t>
            </w:r>
            <w:r w:rsidR="00A83D39" w:rsidRPr="00B166EA">
              <w:rPr>
                <w:color w:val="auto"/>
              </w:rPr>
              <w:t xml:space="preserve"> is larger </w:t>
            </w:r>
            <w:r w:rsidR="0026052A" w:rsidRPr="00B166EA">
              <w:rPr>
                <w:color w:val="auto"/>
              </w:rPr>
              <w:t>than one-fourth</w:t>
            </w:r>
            <w:r w:rsidR="00A83D39" w:rsidRPr="00B166EA">
              <w:rPr>
                <w:color w:val="auto"/>
              </w:rPr>
              <w:t xml:space="preserve"> because the number 8 is larger than 4.)</w:t>
            </w:r>
          </w:p>
          <w:p w14:paraId="599D2B28" w14:textId="7EECB5BB" w:rsidR="00EB40D2" w:rsidRPr="00B166EA" w:rsidRDefault="00496B79" w:rsidP="00B166EA">
            <w:pPr>
              <w:pStyle w:val="Normal1"/>
              <w:spacing w:after="120"/>
              <w:rPr>
                <w:color w:val="auto"/>
              </w:rPr>
            </w:pPr>
            <w:r w:rsidRPr="00B166EA">
              <w:rPr>
                <w:color w:val="auto"/>
              </w:rPr>
              <w:t>Explain how to compare fractions with the same denominator</w:t>
            </w:r>
            <w:r w:rsidR="0026052A" w:rsidRPr="00B166EA">
              <w:rPr>
                <w:color w:val="auto"/>
              </w:rPr>
              <w:t>,</w:t>
            </w:r>
            <w:r w:rsidRPr="00B166EA">
              <w:rPr>
                <w:color w:val="auto"/>
              </w:rPr>
              <w:t xml:space="preserve"> </w:t>
            </w:r>
            <w:r w:rsidR="00A83D39" w:rsidRPr="00B166EA">
              <w:rPr>
                <w:color w:val="auto"/>
              </w:rPr>
              <w:t>then ask how students compared fractions with different</w:t>
            </w:r>
            <w:r w:rsidRPr="00B166EA">
              <w:rPr>
                <w:color w:val="auto"/>
              </w:rPr>
              <w:t xml:space="preserve"> denominators.</w:t>
            </w:r>
          </w:p>
        </w:tc>
        <w:tc>
          <w:tcPr>
            <w:tcW w:w="4309" w:type="dxa"/>
          </w:tcPr>
          <w:p w14:paraId="7D8D7D23" w14:textId="5CA2CF4B" w:rsidR="00EB40D2" w:rsidRDefault="00496B79" w:rsidP="00B166EA">
            <w:pPr>
              <w:pStyle w:val="Normal1"/>
              <w:spacing w:after="120"/>
            </w:pPr>
            <w:r>
              <w:t xml:space="preserve">SE draws the comparisons of fractions on the </w:t>
            </w:r>
            <w:r w:rsidR="0026052A">
              <w:t>interactive board</w:t>
            </w:r>
            <w:r>
              <w:t xml:space="preserve"> and organizes them in the order that the fraction strips were done</w:t>
            </w:r>
            <w:r w:rsidR="0026052A">
              <w:t>,</w:t>
            </w:r>
            <w:r>
              <w:t xml:space="preserve"> from a whole at the top</w:t>
            </w:r>
            <w:r w:rsidR="0026052A">
              <w:t>,</w:t>
            </w:r>
            <w:r>
              <w:t xml:space="preserve"> using a fraction tree as shown below.</w:t>
            </w:r>
          </w:p>
          <w:p w14:paraId="38069F3A" w14:textId="2B600AA3" w:rsidR="00EB40D2" w:rsidRDefault="00496B79" w:rsidP="00B166EA">
            <w:pPr>
              <w:pStyle w:val="Normal1"/>
              <w:spacing w:after="120"/>
              <w:jc w:val="center"/>
            </w:pPr>
            <w:r>
              <w:t>1</w:t>
            </w:r>
          </w:p>
          <w:p w14:paraId="7117431E" w14:textId="1B4E5EB5" w:rsidR="00EB40D2" w:rsidRDefault="00EB45C5" w:rsidP="00B166EA">
            <w:pPr>
              <w:pStyle w:val="Normal1"/>
              <w:spacing w:after="120"/>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m:oMathPara>
          </w:p>
          <w:p w14:paraId="2476C7F1" w14:textId="2893FC87" w:rsidR="00EB40D2" w:rsidRPr="00B166EA" w:rsidRDefault="00EB45C5" w:rsidP="00B166EA">
            <w:pPr>
              <w:pStyle w:val="Normal1"/>
              <w:spacing w:after="120"/>
              <w:jc w:val="center"/>
              <w:rPr>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m:oMathPara>
          </w:p>
          <w:p w14:paraId="179CEF55" w14:textId="3AEE891A" w:rsidR="00EB40D2" w:rsidRDefault="00EB45C5" w:rsidP="00B166EA">
            <w:pPr>
              <w:pStyle w:val="Normal1"/>
              <w:spacing w:after="120"/>
              <w:jc w:val="cente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m:oMathPara>
          </w:p>
        </w:tc>
      </w:tr>
      <w:tr w:rsidR="00EB40D2" w14:paraId="0A59254A" w14:textId="77777777" w:rsidTr="00B166EA">
        <w:tc>
          <w:tcPr>
            <w:tcW w:w="2088" w:type="dxa"/>
          </w:tcPr>
          <w:p w14:paraId="75F8682D" w14:textId="77777777" w:rsidR="00EB40D2" w:rsidRDefault="00496B79">
            <w:pPr>
              <w:pStyle w:val="Normal1"/>
              <w:rPr>
                <w:b/>
              </w:rPr>
            </w:pPr>
            <w:r>
              <w:rPr>
                <w:b/>
              </w:rPr>
              <w:t>Formative Assessment Strategies</w:t>
            </w:r>
          </w:p>
        </w:tc>
        <w:tc>
          <w:tcPr>
            <w:tcW w:w="2340" w:type="dxa"/>
          </w:tcPr>
          <w:p w14:paraId="55C1776A" w14:textId="775A8955" w:rsidR="00EB40D2" w:rsidRDefault="00DA0F2A">
            <w:pPr>
              <w:pStyle w:val="Normal1"/>
            </w:pPr>
            <w:r>
              <w:t>One Teach/ One Assist</w:t>
            </w:r>
          </w:p>
        </w:tc>
        <w:tc>
          <w:tcPr>
            <w:tcW w:w="4308" w:type="dxa"/>
          </w:tcPr>
          <w:p w14:paraId="2924D93D" w14:textId="040135AE" w:rsidR="00A40BCC" w:rsidRPr="00B166EA" w:rsidRDefault="00496B79" w:rsidP="00B166EA">
            <w:pPr>
              <w:pStyle w:val="Normal1"/>
              <w:spacing w:after="120"/>
              <w:rPr>
                <w:color w:val="auto"/>
              </w:rPr>
            </w:pPr>
            <w:r w:rsidRPr="00B166EA">
              <w:rPr>
                <w:color w:val="auto"/>
              </w:rPr>
              <w:t xml:space="preserve">Students complete an exit </w:t>
            </w:r>
            <w:r w:rsidR="0026052A" w:rsidRPr="00B166EA">
              <w:rPr>
                <w:color w:val="auto"/>
              </w:rPr>
              <w:t xml:space="preserve">ticket </w:t>
            </w:r>
            <w:r w:rsidR="00A83D39" w:rsidRPr="00B166EA">
              <w:rPr>
                <w:color w:val="auto"/>
              </w:rPr>
              <w:t>with this question:</w:t>
            </w:r>
            <w:r w:rsidRPr="00B166EA">
              <w:rPr>
                <w:color w:val="auto"/>
              </w:rPr>
              <w:t xml:space="preserve"> </w:t>
            </w:r>
            <w:r w:rsidR="00A83D39" w:rsidRPr="00B166EA">
              <w:rPr>
                <w:color w:val="auto"/>
              </w:rPr>
              <w:t xml:space="preserve">What </w:t>
            </w:r>
            <w:r w:rsidRPr="00B166EA">
              <w:rPr>
                <w:color w:val="auto"/>
              </w:rPr>
              <w:t>part of the fraction do you focus on when comparing two fractions</w:t>
            </w:r>
            <w:r w:rsidR="00A83D39" w:rsidRPr="00B166EA">
              <w:rPr>
                <w:color w:val="auto"/>
              </w:rPr>
              <w:t>? Compare ½ and 5/8 using &lt;</w:t>
            </w:r>
            <w:r w:rsidR="00A40BCC" w:rsidRPr="00B166EA">
              <w:rPr>
                <w:color w:val="auto"/>
              </w:rPr>
              <w:t>, &gt;, =, or ≠. Draw a picture to show your reasoning.</w:t>
            </w:r>
          </w:p>
          <w:p w14:paraId="7A0EFB17" w14:textId="2015BB4A" w:rsidR="00A40BCC" w:rsidRPr="00B166EA" w:rsidRDefault="00A40BCC" w:rsidP="00B166EA">
            <w:pPr>
              <w:pStyle w:val="Normal1"/>
              <w:spacing w:after="120"/>
              <w:rPr>
                <w:color w:val="auto"/>
              </w:rPr>
            </w:pPr>
            <w:r w:rsidRPr="00B166EA">
              <w:rPr>
                <w:color w:val="auto"/>
              </w:rPr>
              <w:t xml:space="preserve">GE collects these slips to determine who needs more instruction in comparing fractions. </w:t>
            </w:r>
          </w:p>
        </w:tc>
        <w:tc>
          <w:tcPr>
            <w:tcW w:w="4309" w:type="dxa"/>
          </w:tcPr>
          <w:p w14:paraId="2BC39C8A" w14:textId="77777777" w:rsidR="00EB40D2" w:rsidRDefault="00496B79" w:rsidP="00B166EA">
            <w:pPr>
              <w:pStyle w:val="Normal1"/>
              <w:spacing w:after="120"/>
            </w:pPr>
            <w:r>
              <w:t>Help students record answers in their graphic organizers with pictures of the fraction tree.</w:t>
            </w:r>
          </w:p>
        </w:tc>
      </w:tr>
      <w:tr w:rsidR="00EB40D2" w14:paraId="120EB4DD" w14:textId="77777777" w:rsidTr="00B166EA">
        <w:tc>
          <w:tcPr>
            <w:tcW w:w="2088" w:type="dxa"/>
          </w:tcPr>
          <w:p w14:paraId="18F8427B" w14:textId="77777777" w:rsidR="00EB40D2" w:rsidRDefault="00496B79">
            <w:pPr>
              <w:pStyle w:val="Normal1"/>
              <w:rPr>
                <w:b/>
              </w:rPr>
            </w:pPr>
            <w:r>
              <w:rPr>
                <w:b/>
              </w:rPr>
              <w:t>Homework</w:t>
            </w:r>
          </w:p>
        </w:tc>
        <w:tc>
          <w:tcPr>
            <w:tcW w:w="2340" w:type="dxa"/>
          </w:tcPr>
          <w:p w14:paraId="071B1DD0" w14:textId="45D68A5D" w:rsidR="00EB40D2" w:rsidRDefault="00DA0F2A">
            <w:pPr>
              <w:pStyle w:val="Normal1"/>
            </w:pPr>
            <w:r>
              <w:t>Team Teaching</w:t>
            </w:r>
          </w:p>
        </w:tc>
        <w:tc>
          <w:tcPr>
            <w:tcW w:w="4308" w:type="dxa"/>
          </w:tcPr>
          <w:p w14:paraId="36535FB9" w14:textId="3D74F6E7" w:rsidR="00EB40D2" w:rsidRPr="00B166EA" w:rsidRDefault="00496B79">
            <w:pPr>
              <w:pStyle w:val="Normal1"/>
              <w:rPr>
                <w:color w:val="auto"/>
              </w:rPr>
            </w:pPr>
            <w:r w:rsidRPr="00B166EA">
              <w:rPr>
                <w:color w:val="auto"/>
              </w:rPr>
              <w:t xml:space="preserve">Follow a cooking recipe at home with a parent/guardian or grandparent. Name </w:t>
            </w:r>
            <w:r w:rsidR="0026052A" w:rsidRPr="00B166EA">
              <w:rPr>
                <w:color w:val="auto"/>
              </w:rPr>
              <w:t xml:space="preserve">three </w:t>
            </w:r>
            <w:r w:rsidRPr="00B166EA">
              <w:rPr>
                <w:color w:val="auto"/>
              </w:rPr>
              <w:t xml:space="preserve">fractions you recognize and report your answers in your graphic organizers. </w:t>
            </w:r>
          </w:p>
        </w:tc>
        <w:tc>
          <w:tcPr>
            <w:tcW w:w="4309" w:type="dxa"/>
          </w:tcPr>
          <w:p w14:paraId="378C07A9" w14:textId="6D808575" w:rsidR="00EB40D2" w:rsidRDefault="00496B79">
            <w:pPr>
              <w:pStyle w:val="Normal1"/>
            </w:pPr>
            <w:r>
              <w:t>Same as GE</w:t>
            </w:r>
            <w:r w:rsidR="0026052A">
              <w:t>.</w:t>
            </w:r>
          </w:p>
        </w:tc>
      </w:tr>
    </w:tbl>
    <w:p w14:paraId="669A4AC4" w14:textId="6CE8F7EC" w:rsidR="00D15CF2" w:rsidRPr="00D15CF2" w:rsidRDefault="00496B79" w:rsidP="00D15CF2">
      <w:pPr>
        <w:pStyle w:val="Heading2"/>
        <w:spacing w:before="240"/>
      </w:pPr>
      <w:r w:rsidRPr="008153CA">
        <w:t>Specially Designed Instruction</w:t>
      </w:r>
    </w:p>
    <w:p w14:paraId="65B30013" w14:textId="407C0F0C" w:rsidR="00EB40D2" w:rsidRDefault="0039597F" w:rsidP="0039597F">
      <w:pPr>
        <w:pStyle w:val="Normal1"/>
        <w:numPr>
          <w:ilvl w:val="0"/>
          <w:numId w:val="2"/>
        </w:numPr>
        <w:contextualSpacing/>
      </w:pPr>
      <w:r>
        <w:t>Model how to correctly use fraction strips; assist students with identifying the difference between each fraction piece.</w:t>
      </w:r>
    </w:p>
    <w:p w14:paraId="725A1201" w14:textId="52DEEE51" w:rsidR="00D15CF2" w:rsidRDefault="005D2E31" w:rsidP="0039597F">
      <w:pPr>
        <w:pStyle w:val="Normal1"/>
        <w:numPr>
          <w:ilvl w:val="0"/>
          <w:numId w:val="2"/>
        </w:numPr>
        <w:contextualSpacing/>
      </w:pPr>
      <w:r>
        <w:t>Provide systematic instruction to sequence learning from easier to more difficult.  Start fir</w:t>
      </w:r>
      <w:r w:rsidR="007F171D">
        <w:t>st with two fraction pieces, and then systematically move to more fraction pieces.</w:t>
      </w:r>
    </w:p>
    <w:p w14:paraId="4D696E2B" w14:textId="3D020169" w:rsidR="00835773" w:rsidRDefault="00835773" w:rsidP="0039597F">
      <w:pPr>
        <w:pStyle w:val="Normal1"/>
        <w:numPr>
          <w:ilvl w:val="0"/>
          <w:numId w:val="2"/>
        </w:numPr>
        <w:contextualSpacing/>
      </w:pPr>
      <w:r>
        <w:t>Ask students to verbalize as they compare the fractions</w:t>
      </w:r>
    </w:p>
    <w:p w14:paraId="1F16D1C4" w14:textId="45E5088B" w:rsidR="00EB40D2" w:rsidRDefault="00EB40D2" w:rsidP="00D15CF2">
      <w:pPr>
        <w:pStyle w:val="Normal1"/>
        <w:ind w:left="360"/>
        <w:contextualSpacing/>
      </w:pPr>
    </w:p>
    <w:p w14:paraId="3D46DD42" w14:textId="4B30D994" w:rsidR="00EB40D2" w:rsidRDefault="00496B79" w:rsidP="00B166EA">
      <w:pPr>
        <w:pStyle w:val="Heading2"/>
        <w:spacing w:before="240"/>
        <w:rPr>
          <w:highlight w:val="yellow"/>
        </w:rPr>
      </w:pPr>
      <w:r w:rsidRPr="008153CA">
        <w:t>Accommodations</w:t>
      </w:r>
    </w:p>
    <w:p w14:paraId="62A2F894" w14:textId="744B9BE7" w:rsidR="00EB40D2" w:rsidRDefault="00496B79">
      <w:pPr>
        <w:pStyle w:val="Normal1"/>
        <w:numPr>
          <w:ilvl w:val="0"/>
          <w:numId w:val="4"/>
        </w:numPr>
        <w:contextualSpacing/>
      </w:pPr>
      <w:r>
        <w:t>Clarify or repeat directions</w:t>
      </w:r>
      <w:r w:rsidR="00143DB1">
        <w:t>.</w:t>
      </w:r>
    </w:p>
    <w:p w14:paraId="21272A2C" w14:textId="2A8789F3" w:rsidR="00EB40D2" w:rsidRDefault="00496B79">
      <w:pPr>
        <w:pStyle w:val="Normal1"/>
        <w:numPr>
          <w:ilvl w:val="0"/>
          <w:numId w:val="4"/>
        </w:numPr>
        <w:contextualSpacing/>
      </w:pPr>
      <w:r>
        <w:t>Provide assistance when making, labeling</w:t>
      </w:r>
      <w:r w:rsidR="0026052A">
        <w:t>,</w:t>
      </w:r>
      <w:r>
        <w:t xml:space="preserve"> and cutting fraction strips</w:t>
      </w:r>
      <w:r w:rsidR="00143DB1">
        <w:t>.</w:t>
      </w:r>
    </w:p>
    <w:p w14:paraId="2CC3E800" w14:textId="1F2ACF00" w:rsidR="0039597F" w:rsidRDefault="0039597F">
      <w:pPr>
        <w:pStyle w:val="Normal1"/>
        <w:numPr>
          <w:ilvl w:val="0"/>
          <w:numId w:val="4"/>
        </w:numPr>
        <w:contextualSpacing/>
      </w:pPr>
      <w:r>
        <w:t>Provide pre-made fraction strips to those who need them</w:t>
      </w:r>
    </w:p>
    <w:p w14:paraId="76899CBE" w14:textId="24AA1495" w:rsidR="00EB40D2" w:rsidRDefault="00496B79">
      <w:pPr>
        <w:pStyle w:val="Normal1"/>
        <w:numPr>
          <w:ilvl w:val="0"/>
          <w:numId w:val="4"/>
        </w:numPr>
        <w:contextualSpacing/>
      </w:pPr>
      <w:r>
        <w:t>Read aloud any material</w:t>
      </w:r>
      <w:r w:rsidR="0026052A">
        <w:t>,</w:t>
      </w:r>
      <w:r>
        <w:t xml:space="preserve"> as needed</w:t>
      </w:r>
      <w:r w:rsidR="00143DB1">
        <w:t>.</w:t>
      </w:r>
    </w:p>
    <w:p w14:paraId="5E78D802" w14:textId="452993AB" w:rsidR="00EB40D2" w:rsidRDefault="00496B79" w:rsidP="00B166EA">
      <w:pPr>
        <w:pStyle w:val="Normal1"/>
        <w:numPr>
          <w:ilvl w:val="0"/>
          <w:numId w:val="4"/>
        </w:numPr>
        <w:contextualSpacing/>
      </w:pPr>
      <w:r w:rsidRPr="00143DB1">
        <w:rPr>
          <w:color w:val="auto"/>
        </w:rPr>
        <w:t>Provide visual cues to help students who may have difficulty vis</w:t>
      </w:r>
      <w:r w:rsidR="007F171D">
        <w:rPr>
          <w:color w:val="auto"/>
        </w:rPr>
        <w:t xml:space="preserve">ualizing dimensions and sizes. </w:t>
      </w:r>
      <w:r w:rsidRPr="00143DB1">
        <w:rPr>
          <w:color w:val="auto"/>
        </w:rPr>
        <w:t xml:space="preserve">Show each piece of the fraction with an image that is labeled with the specific amount starting from a whole all the way to </w:t>
      </w:r>
      <w:r w:rsidR="00143DB1" w:rsidRPr="00143DB1">
        <w:rPr>
          <w:color w:val="auto"/>
        </w:rPr>
        <w:t>one-tenth</w:t>
      </w:r>
      <w:r w:rsidRPr="00143DB1">
        <w:rPr>
          <w:color w:val="auto"/>
        </w:rPr>
        <w:t>.</w:t>
      </w:r>
      <w:r w:rsidRPr="00143DB1">
        <w:rPr>
          <w:color w:val="000033"/>
        </w:rPr>
        <w:t xml:space="preserve"> Each piece </w:t>
      </w:r>
      <w:r>
        <w:t xml:space="preserve">can be made into one large anchor chart for students to have as a visual with </w:t>
      </w:r>
      <w:r w:rsidR="00495270">
        <w:t>all</w:t>
      </w:r>
      <w:r>
        <w:t xml:space="preserve"> the fraction parts on it.</w:t>
      </w:r>
    </w:p>
    <w:p w14:paraId="5D03B917" w14:textId="1910460C" w:rsidR="00EB40D2" w:rsidRDefault="00496B79" w:rsidP="00B166EA">
      <w:pPr>
        <w:pStyle w:val="Heading2"/>
        <w:spacing w:before="240"/>
      </w:pPr>
      <w:r w:rsidRPr="008153CA">
        <w:t>Modifications</w:t>
      </w:r>
    </w:p>
    <w:p w14:paraId="205BFE66" w14:textId="548C3055" w:rsidR="00835773" w:rsidRPr="00835773" w:rsidRDefault="0098291A" w:rsidP="00835773">
      <w:pPr>
        <w:pStyle w:val="Normal1"/>
        <w:numPr>
          <w:ilvl w:val="0"/>
          <w:numId w:val="16"/>
        </w:numPr>
      </w:pPr>
      <w:r>
        <w:t>For those students needing a modified curriculum, the content can be changed to comparing just fractions with like denominators, or using just words to compare and not the symbols.</w:t>
      </w:r>
    </w:p>
    <w:p w14:paraId="6221CA92" w14:textId="77777777" w:rsidR="00EB40D2" w:rsidRDefault="00496B79" w:rsidP="00B166EA">
      <w:pPr>
        <w:pStyle w:val="Heading2"/>
        <w:spacing w:before="240"/>
      </w:pPr>
      <w:r>
        <w:t>Notes</w:t>
      </w:r>
    </w:p>
    <w:p w14:paraId="45652C03" w14:textId="50CA3D99" w:rsidR="00EB40D2" w:rsidRDefault="00496B79">
      <w:pPr>
        <w:pStyle w:val="Normal1"/>
        <w:numPr>
          <w:ilvl w:val="0"/>
          <w:numId w:val="7"/>
        </w:numPr>
        <w:contextualSpacing/>
      </w:pPr>
      <w:r>
        <w:t xml:space="preserve">“Special </w:t>
      </w:r>
      <w:r w:rsidR="00A140F4">
        <w:t>educator</w:t>
      </w:r>
      <w:r>
        <w:t xml:space="preserve">” as noted in this lesson plan might be an EL </w:t>
      </w:r>
      <w:r w:rsidR="00143DB1">
        <w:t>teacher</w:t>
      </w:r>
      <w:r>
        <w:t xml:space="preserve">, </w:t>
      </w:r>
      <w:r w:rsidR="00143DB1">
        <w:t>speech pathologist</w:t>
      </w:r>
      <w:r>
        <w:t xml:space="preserve">, or other specialist co-teaching with a </w:t>
      </w:r>
      <w:r w:rsidR="00143DB1">
        <w:t>general educator</w:t>
      </w:r>
      <w:r>
        <w:t>.</w:t>
      </w:r>
    </w:p>
    <w:p w14:paraId="70602EA5" w14:textId="79A9EE8B" w:rsidR="00495270" w:rsidRDefault="00495270">
      <w:pPr>
        <w:pStyle w:val="Normal1"/>
        <w:numPr>
          <w:ilvl w:val="0"/>
          <w:numId w:val="7"/>
        </w:numPr>
        <w:contextualSpacing/>
      </w:pPr>
      <w:r>
        <w:t>It is imperative for students to establish the understanding that</w:t>
      </w:r>
      <w:r w:rsidR="00143DB1">
        <w:t xml:space="preserve">, </w:t>
      </w:r>
      <w:r>
        <w:t>when working with fractions, the whole must be identified. In this activity</w:t>
      </w:r>
      <w:r w:rsidR="00143DB1">
        <w:t>,</w:t>
      </w:r>
      <w:r>
        <w:t xml:space="preserve"> the whole is the red strip and all the subsequent fractional parts are labeled according to their relationship to the whole. </w:t>
      </w:r>
    </w:p>
    <w:p w14:paraId="0733FE24" w14:textId="449D5634" w:rsidR="002C3157" w:rsidRDefault="002C3157" w:rsidP="00B166EA">
      <w:pPr>
        <w:pStyle w:val="Heading3"/>
        <w:spacing w:before="120"/>
        <w:rPr>
          <w:b w:val="0"/>
        </w:rPr>
      </w:pPr>
      <w:bookmarkStart w:id="0" w:name="_gjdgxs" w:colFirst="0" w:colLast="0"/>
      <w:bookmarkEnd w:id="0"/>
    </w:p>
    <w:p w14:paraId="339116E9" w14:textId="77777777" w:rsidR="002C3157" w:rsidRDefault="002C3157" w:rsidP="002C3157">
      <w:pPr>
        <w:pStyle w:val="Heading3"/>
        <w:rPr>
          <w:b w:val="0"/>
        </w:rPr>
      </w:pPr>
      <w:r w:rsidRPr="000053FE">
        <w:rPr>
          <w:rFonts w:cs="Calibri"/>
          <w:bCs/>
        </w:rPr>
        <w:t>Note: The following pages are intended for classroom use for students as a visual aid to learning.</w:t>
      </w:r>
    </w:p>
    <w:p w14:paraId="6300DFA8" w14:textId="77777777" w:rsidR="002C3157" w:rsidRPr="002C3157" w:rsidRDefault="002C3157" w:rsidP="002C3157">
      <w:pPr>
        <w:pStyle w:val="Normal1"/>
      </w:pPr>
    </w:p>
    <w:p w14:paraId="2E8E88E3" w14:textId="77777777" w:rsidR="002C3157" w:rsidRDefault="002C3157" w:rsidP="00B166EA">
      <w:pPr>
        <w:pStyle w:val="Heading3"/>
        <w:spacing w:before="120"/>
        <w:rPr>
          <w:b w:val="0"/>
        </w:rPr>
      </w:pPr>
    </w:p>
    <w:p w14:paraId="61FB1D33" w14:textId="6028AB2E" w:rsidR="00EB40D2" w:rsidRDefault="00496B79" w:rsidP="00B166EA">
      <w:pPr>
        <w:pStyle w:val="Heading3"/>
        <w:spacing w:before="120"/>
        <w:rPr>
          <w:b w:val="0"/>
        </w:rPr>
      </w:pPr>
      <w:r>
        <w:rPr>
          <w:b w:val="0"/>
        </w:rPr>
        <w:t>Virginia Department of Education</w:t>
      </w:r>
      <w:r w:rsidR="00EA5BE8">
        <w:rPr>
          <w:b w:val="0"/>
        </w:rPr>
        <w:t xml:space="preserve"> </w:t>
      </w:r>
      <w:r>
        <w:rPr>
          <w:b w:val="0"/>
        </w:rPr>
        <w:t>©</w:t>
      </w:r>
      <w:r w:rsidR="00EA5BE8">
        <w:rPr>
          <w:b w:val="0"/>
        </w:rPr>
        <w:t xml:space="preserve"> </w:t>
      </w:r>
      <w:r>
        <w:rPr>
          <w:b w:val="0"/>
        </w:rPr>
        <w:t>201</w:t>
      </w:r>
      <w:r w:rsidR="00EA5BE8">
        <w:rPr>
          <w:b w:val="0"/>
        </w:rPr>
        <w:t>8</w:t>
      </w:r>
    </w:p>
    <w:p w14:paraId="57214D19" w14:textId="77777777" w:rsidR="00EA5BE8" w:rsidRDefault="00EA5BE8" w:rsidP="00A84AAC">
      <w:pPr>
        <w:pStyle w:val="Normal1"/>
        <w:spacing w:line="276" w:lineRule="auto"/>
        <w:sectPr w:rsidR="00EA5BE8" w:rsidSect="00EA5BE8">
          <w:type w:val="continuous"/>
          <w:pgSz w:w="15840" w:h="12240"/>
          <w:pgMar w:top="1440" w:right="1440" w:bottom="1440" w:left="1440" w:header="0" w:footer="720" w:gutter="0"/>
          <w:cols w:space="720"/>
        </w:sectPr>
      </w:pPr>
    </w:p>
    <w:p w14:paraId="6CD37BDE" w14:textId="77777777" w:rsidR="0039576F" w:rsidRPr="00B166EA" w:rsidRDefault="0039576F" w:rsidP="0039576F">
      <w:pPr>
        <w:pStyle w:val="Heading2"/>
        <w:spacing w:after="240"/>
        <w:jc w:val="center"/>
        <w:rPr>
          <w:sz w:val="32"/>
          <w:szCs w:val="32"/>
        </w:rPr>
      </w:pPr>
      <w:r w:rsidRPr="00B166EA">
        <w:rPr>
          <w:sz w:val="32"/>
          <w:szCs w:val="32"/>
        </w:rPr>
        <w:t>Mine’s Bigger! Fraction Comparison Game</w:t>
      </w:r>
    </w:p>
    <w:p w14:paraId="0843F773" w14:textId="77777777" w:rsidR="0039576F" w:rsidRPr="0039576F" w:rsidRDefault="0039576F" w:rsidP="0039576F">
      <w:pPr>
        <w:spacing w:after="240"/>
        <w:jc w:val="center"/>
        <w:rPr>
          <w:b/>
          <w:sz w:val="28"/>
          <w:szCs w:val="28"/>
        </w:rPr>
      </w:pPr>
      <w:r w:rsidRPr="0039576F">
        <w:rPr>
          <w:b/>
          <w:sz w:val="28"/>
          <w:szCs w:val="28"/>
        </w:rPr>
        <w:t>Directions</w:t>
      </w:r>
    </w:p>
    <w:p w14:paraId="3278BDBC" w14:textId="77777777" w:rsidR="0039576F" w:rsidRPr="00B166EA" w:rsidRDefault="0039576F" w:rsidP="0039576F">
      <w:pPr>
        <w:pStyle w:val="ListParagraph"/>
        <w:numPr>
          <w:ilvl w:val="0"/>
          <w:numId w:val="13"/>
        </w:numPr>
        <w:spacing w:after="240" w:line="240" w:lineRule="auto"/>
        <w:contextualSpacing w:val="0"/>
        <w:rPr>
          <w:rFonts w:ascii="Times New Roman" w:hAnsi="Times New Roman" w:cs="Times New Roman"/>
          <w:sz w:val="24"/>
          <w:szCs w:val="24"/>
        </w:rPr>
      </w:pPr>
      <w:r w:rsidRPr="00B166EA">
        <w:rPr>
          <w:rFonts w:ascii="Times New Roman" w:hAnsi="Times New Roman" w:cs="Times New Roman"/>
          <w:sz w:val="24"/>
          <w:szCs w:val="24"/>
        </w:rPr>
        <w:t>Decide who will be Player 1 and who will be Player 2.</w:t>
      </w:r>
    </w:p>
    <w:p w14:paraId="5D13AFA9" w14:textId="77777777" w:rsidR="0039576F" w:rsidRPr="00B166EA" w:rsidRDefault="0039576F" w:rsidP="0039576F">
      <w:pPr>
        <w:pStyle w:val="ListParagraph"/>
        <w:numPr>
          <w:ilvl w:val="0"/>
          <w:numId w:val="13"/>
        </w:numPr>
        <w:spacing w:after="240" w:line="240" w:lineRule="auto"/>
        <w:contextualSpacing w:val="0"/>
        <w:rPr>
          <w:rFonts w:ascii="Times New Roman" w:hAnsi="Times New Roman" w:cs="Times New Roman"/>
          <w:sz w:val="24"/>
          <w:szCs w:val="24"/>
        </w:rPr>
      </w:pPr>
      <w:r w:rsidRPr="00B166EA">
        <w:rPr>
          <w:rFonts w:ascii="Times New Roman" w:hAnsi="Times New Roman" w:cs="Times New Roman"/>
          <w:sz w:val="24"/>
          <w:szCs w:val="24"/>
        </w:rPr>
        <w:t>Player 1 draws a fraction card from a paper bag, and both players write the fraction in the first column of the chart.</w:t>
      </w:r>
    </w:p>
    <w:p w14:paraId="5746C27B" w14:textId="77777777" w:rsidR="0039576F" w:rsidRPr="00B166EA" w:rsidRDefault="0039576F" w:rsidP="0039576F">
      <w:pPr>
        <w:pStyle w:val="ListParagraph"/>
        <w:numPr>
          <w:ilvl w:val="0"/>
          <w:numId w:val="13"/>
        </w:numPr>
        <w:spacing w:after="240" w:line="240" w:lineRule="auto"/>
        <w:contextualSpacing w:val="0"/>
        <w:rPr>
          <w:rFonts w:ascii="Times New Roman" w:hAnsi="Times New Roman" w:cs="Times New Roman"/>
          <w:sz w:val="24"/>
          <w:szCs w:val="24"/>
        </w:rPr>
      </w:pPr>
      <w:r w:rsidRPr="00B166EA">
        <w:rPr>
          <w:rFonts w:ascii="Times New Roman" w:hAnsi="Times New Roman" w:cs="Times New Roman"/>
          <w:sz w:val="24"/>
          <w:szCs w:val="24"/>
        </w:rPr>
        <w:t>Player 2 draws a fraction card from the bag, and both players write the fraction in the third column of the chart.</w:t>
      </w:r>
    </w:p>
    <w:p w14:paraId="509FCB97" w14:textId="77777777" w:rsidR="0039576F" w:rsidRPr="00B166EA" w:rsidRDefault="0039576F" w:rsidP="0039576F">
      <w:pPr>
        <w:pStyle w:val="ListParagraph"/>
        <w:numPr>
          <w:ilvl w:val="0"/>
          <w:numId w:val="13"/>
        </w:numPr>
        <w:spacing w:after="240" w:line="240" w:lineRule="auto"/>
        <w:contextualSpacing w:val="0"/>
        <w:rPr>
          <w:rFonts w:ascii="Times New Roman" w:hAnsi="Times New Roman" w:cs="Times New Roman"/>
          <w:sz w:val="24"/>
          <w:szCs w:val="24"/>
        </w:rPr>
      </w:pPr>
      <w:r w:rsidRPr="00B166EA">
        <w:rPr>
          <w:rFonts w:ascii="Times New Roman" w:hAnsi="Times New Roman" w:cs="Times New Roman"/>
          <w:sz w:val="24"/>
          <w:szCs w:val="24"/>
        </w:rPr>
        <w:t>Students compare their fractions using fraction strips.</w:t>
      </w:r>
    </w:p>
    <w:p w14:paraId="1D5230B5" w14:textId="77777777" w:rsidR="0039576F" w:rsidRPr="00B166EA" w:rsidRDefault="0039576F" w:rsidP="0039576F">
      <w:pPr>
        <w:pStyle w:val="ListParagraph"/>
        <w:numPr>
          <w:ilvl w:val="0"/>
          <w:numId w:val="13"/>
        </w:numPr>
        <w:spacing w:after="240" w:line="240" w:lineRule="auto"/>
        <w:contextualSpacing w:val="0"/>
        <w:rPr>
          <w:rFonts w:ascii="Times New Roman" w:hAnsi="Times New Roman" w:cs="Times New Roman"/>
          <w:sz w:val="24"/>
          <w:szCs w:val="24"/>
        </w:rPr>
      </w:pPr>
      <w:r w:rsidRPr="00B166EA">
        <w:rPr>
          <w:rFonts w:ascii="Times New Roman" w:hAnsi="Times New Roman" w:cs="Times New Roman"/>
          <w:sz w:val="24"/>
          <w:szCs w:val="24"/>
        </w:rPr>
        <w:t xml:space="preserve">Players must then use the symbols &lt;, &gt;, or = to compare the two fractions, deciding which one is bigger and writing in the fourth column. </w:t>
      </w:r>
    </w:p>
    <w:p w14:paraId="752342DA" w14:textId="77777777" w:rsidR="0039576F" w:rsidRPr="00B166EA" w:rsidRDefault="0039576F" w:rsidP="0039576F">
      <w:pPr>
        <w:pStyle w:val="ListParagraph"/>
        <w:numPr>
          <w:ilvl w:val="0"/>
          <w:numId w:val="13"/>
        </w:numPr>
        <w:spacing w:after="240" w:line="240" w:lineRule="auto"/>
        <w:contextualSpacing w:val="0"/>
        <w:rPr>
          <w:rFonts w:ascii="Times New Roman" w:hAnsi="Times New Roman" w:cs="Times New Roman"/>
          <w:sz w:val="24"/>
          <w:szCs w:val="24"/>
        </w:rPr>
      </w:pPr>
      <w:r w:rsidRPr="00B166EA">
        <w:rPr>
          <w:rFonts w:ascii="Times New Roman" w:hAnsi="Times New Roman" w:cs="Times New Roman"/>
          <w:sz w:val="24"/>
          <w:szCs w:val="24"/>
        </w:rPr>
        <w:t>The player with the bigger fraction earns 1 point. If the fractions are equal, no points are awarded.</w:t>
      </w:r>
    </w:p>
    <w:p w14:paraId="64C8A0C0" w14:textId="77777777" w:rsidR="0039576F" w:rsidRPr="00B166EA" w:rsidRDefault="0039576F" w:rsidP="0039576F">
      <w:pPr>
        <w:pStyle w:val="ListParagraph"/>
        <w:numPr>
          <w:ilvl w:val="0"/>
          <w:numId w:val="13"/>
        </w:numPr>
        <w:spacing w:after="240" w:line="240" w:lineRule="auto"/>
        <w:contextualSpacing w:val="0"/>
        <w:rPr>
          <w:rFonts w:ascii="Times New Roman" w:hAnsi="Times New Roman" w:cs="Times New Roman"/>
          <w:sz w:val="24"/>
          <w:szCs w:val="24"/>
        </w:rPr>
      </w:pPr>
      <w:r w:rsidRPr="00B166EA">
        <w:rPr>
          <w:rFonts w:ascii="Times New Roman" w:hAnsi="Times New Roman" w:cs="Times New Roman"/>
          <w:sz w:val="24"/>
          <w:szCs w:val="24"/>
        </w:rPr>
        <w:t>The first player to get 10 points wins the game.</w:t>
      </w:r>
    </w:p>
    <w:p w14:paraId="7FCBD3D1" w14:textId="77777777" w:rsidR="0039576F" w:rsidRDefault="0039576F" w:rsidP="0039576F">
      <w:r>
        <w:br w:type="page"/>
      </w:r>
    </w:p>
    <w:p w14:paraId="4989F29C" w14:textId="77777777" w:rsidR="0039576F" w:rsidRPr="00B166EA" w:rsidRDefault="0039576F" w:rsidP="0039576F">
      <w:pPr>
        <w:pStyle w:val="Heading2"/>
        <w:spacing w:after="240"/>
        <w:jc w:val="center"/>
        <w:rPr>
          <w:sz w:val="32"/>
          <w:szCs w:val="32"/>
        </w:rPr>
      </w:pPr>
      <w:r w:rsidRPr="00B166EA">
        <w:rPr>
          <w:sz w:val="32"/>
          <w:szCs w:val="32"/>
        </w:rPr>
        <w:t>Mine’s Bigger! Fraction Comparison Game</w:t>
      </w:r>
    </w:p>
    <w:p w14:paraId="4C2D23E9" w14:textId="77777777" w:rsidR="0039576F" w:rsidRDefault="0039576F" w:rsidP="0039576F">
      <w:pPr>
        <w:tabs>
          <w:tab w:val="left" w:pos="630"/>
        </w:tabs>
        <w:spacing w:after="120"/>
        <w:ind w:left="634" w:hanging="360"/>
        <w:jc w:val="center"/>
        <w:rPr>
          <w:b/>
          <w:sz w:val="28"/>
          <w:szCs w:val="28"/>
        </w:rPr>
      </w:pPr>
      <w:r w:rsidRPr="0039576F">
        <w:rPr>
          <w:b/>
          <w:sz w:val="28"/>
          <w:szCs w:val="28"/>
        </w:rPr>
        <w:t>Recording Sheet</w:t>
      </w:r>
    </w:p>
    <w:p w14:paraId="4CC4FA67" w14:textId="77777777" w:rsidR="00EB45C5" w:rsidRPr="0039576F" w:rsidRDefault="00EB45C5" w:rsidP="0039576F">
      <w:pPr>
        <w:tabs>
          <w:tab w:val="left" w:pos="630"/>
        </w:tabs>
        <w:spacing w:after="120"/>
        <w:ind w:left="634" w:hanging="360"/>
        <w:jc w:val="center"/>
        <w:rPr>
          <w:b/>
          <w:sz w:val="28"/>
          <w:szCs w:val="28"/>
        </w:rPr>
      </w:pPr>
    </w:p>
    <w:p w14:paraId="349C9FF2" w14:textId="79225DFE" w:rsidR="0039576F" w:rsidRPr="006710BC" w:rsidRDefault="00EB45C5" w:rsidP="00EB45C5">
      <w:pPr>
        <w:pStyle w:val="Heading2"/>
        <w:pBdr>
          <w:right w:val="nil"/>
        </w:pBdr>
        <w:spacing w:after="240"/>
        <w:jc w:val="center"/>
        <w:rPr>
          <w:rFonts w:asciiTheme="minorHAnsi" w:hAnsiTheme="minorHAnsi" w:cstheme="minorHAnsi"/>
          <w:sz w:val="32"/>
          <w:szCs w:val="32"/>
        </w:rPr>
      </w:pPr>
      <w:r>
        <w:rPr>
          <w:noProof/>
        </w:rPr>
        <w:drawing>
          <wp:inline distT="0" distB="0" distL="0" distR="0" wp14:anchorId="367CE132" wp14:editId="11983D51">
            <wp:extent cx="5667375" cy="5848350"/>
            <wp:effectExtent l="0" t="0" r="9525" b="0"/>
            <wp:docPr id="1" name="Picture 1" descr="fraction comparsion game recording sheet"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5848350"/>
                    </a:xfrm>
                    <a:prstGeom prst="rect">
                      <a:avLst/>
                    </a:prstGeom>
                  </pic:spPr>
                </pic:pic>
              </a:graphicData>
            </a:graphic>
          </wp:inline>
        </w:drawing>
      </w:r>
      <w:r w:rsidR="0039576F" w:rsidRPr="006710BC">
        <w:rPr>
          <w:sz w:val="32"/>
          <w:szCs w:val="32"/>
        </w:rPr>
        <w:br w:type="page"/>
      </w:r>
      <w:r w:rsidR="0039576F" w:rsidRPr="006710BC">
        <w:rPr>
          <w:rFonts w:asciiTheme="minorHAnsi" w:hAnsiTheme="minorHAnsi" w:cstheme="minorHAnsi"/>
          <w:sz w:val="32"/>
          <w:szCs w:val="32"/>
        </w:rPr>
        <w:t>Fraction Cards</w:t>
      </w:r>
    </w:p>
    <w:p w14:paraId="77B0D2D0" w14:textId="77777777" w:rsidR="0039576F" w:rsidRDefault="0039576F" w:rsidP="00EB45C5">
      <w:pPr>
        <w:pBdr>
          <w:right w:val="nil"/>
        </w:pBdr>
        <w:spacing w:after="240"/>
        <w:jc w:val="center"/>
      </w:pPr>
      <w:r>
        <w:t>Copy on card stock, and cut out on the dotted lines.</w:t>
      </w:r>
    </w:p>
    <w:tbl>
      <w:tblPr>
        <w:tblW w:w="5000" w:type="pct"/>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3192"/>
        <w:gridCol w:w="3193"/>
        <w:gridCol w:w="3191"/>
      </w:tblGrid>
      <w:tr w:rsidR="0039576F" w:rsidRPr="00071391" w14:paraId="41ECF8A2" w14:textId="77777777" w:rsidTr="00B166EA">
        <w:trPr>
          <w:trHeight w:val="2519"/>
          <w:jc w:val="center"/>
        </w:trPr>
        <w:tc>
          <w:tcPr>
            <w:tcW w:w="1667" w:type="pct"/>
            <w:vAlign w:val="center"/>
          </w:tcPr>
          <w:bookmarkStart w:id="1" w:name="_GoBack"/>
          <w:p w14:paraId="559475D7" w14:textId="77777777" w:rsidR="0039576F" w:rsidRPr="00071391" w:rsidRDefault="0039576F" w:rsidP="006710BC">
            <w:pPr>
              <w:jc w:val="center"/>
              <w:rPr>
                <w:sz w:val="72"/>
                <w:szCs w:val="72"/>
              </w:rPr>
            </w:pPr>
            <w:r w:rsidRPr="00071391">
              <w:rPr>
                <w:sz w:val="72"/>
                <w:szCs w:val="72"/>
              </w:rPr>
              <w:fldChar w:fldCharType="begin"/>
            </w:r>
            <w:r w:rsidRPr="00071391">
              <w:rPr>
                <w:sz w:val="72"/>
                <w:szCs w:val="72"/>
              </w:rPr>
              <w:instrText xml:space="preserve"> EQ \F(1,2) </w:instrText>
            </w:r>
            <w:r w:rsidRPr="00071391">
              <w:rPr>
                <w:sz w:val="72"/>
                <w:szCs w:val="72"/>
              </w:rPr>
              <w:fldChar w:fldCharType="end"/>
            </w:r>
            <w:bookmarkEnd w:id="1"/>
          </w:p>
        </w:tc>
        <w:tc>
          <w:tcPr>
            <w:tcW w:w="1667" w:type="pct"/>
            <w:vAlign w:val="center"/>
          </w:tcPr>
          <w:p w14:paraId="3B7991BF"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\F(3,4) </w:instrText>
            </w:r>
            <w:r w:rsidRPr="00071391">
              <w:rPr>
                <w:sz w:val="72"/>
                <w:szCs w:val="72"/>
              </w:rPr>
              <w:fldChar w:fldCharType="end"/>
            </w:r>
          </w:p>
        </w:tc>
        <w:tc>
          <w:tcPr>
            <w:tcW w:w="1667" w:type="pct"/>
            <w:vAlign w:val="center"/>
          </w:tcPr>
          <w:p w14:paraId="41D921A8"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\F(1,3) </w:instrText>
            </w:r>
            <w:r w:rsidRPr="00071391">
              <w:rPr>
                <w:sz w:val="72"/>
                <w:szCs w:val="72"/>
              </w:rPr>
              <w:fldChar w:fldCharType="end"/>
            </w:r>
          </w:p>
        </w:tc>
      </w:tr>
      <w:tr w:rsidR="0039576F" w:rsidRPr="00071391" w14:paraId="4084FF68" w14:textId="77777777" w:rsidTr="00B166EA">
        <w:trPr>
          <w:trHeight w:val="2519"/>
          <w:jc w:val="center"/>
        </w:trPr>
        <w:tc>
          <w:tcPr>
            <w:tcW w:w="1667" w:type="pct"/>
            <w:vAlign w:val="center"/>
          </w:tcPr>
          <w:p w14:paraId="3B0B2715"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\F(2,3) </w:instrText>
            </w:r>
            <w:r w:rsidRPr="00071391">
              <w:rPr>
                <w:sz w:val="72"/>
                <w:szCs w:val="72"/>
              </w:rPr>
              <w:fldChar w:fldCharType="end"/>
            </w:r>
          </w:p>
        </w:tc>
        <w:tc>
          <w:tcPr>
            <w:tcW w:w="1667" w:type="pct"/>
            <w:vAlign w:val="center"/>
          </w:tcPr>
          <w:p w14:paraId="35E72E5D"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\F(2,6) </w:instrText>
            </w:r>
            <w:r w:rsidRPr="00071391">
              <w:rPr>
                <w:sz w:val="72"/>
                <w:szCs w:val="72"/>
              </w:rPr>
              <w:fldChar w:fldCharType="end"/>
            </w:r>
          </w:p>
        </w:tc>
        <w:tc>
          <w:tcPr>
            <w:tcW w:w="1667" w:type="pct"/>
            <w:vAlign w:val="center"/>
          </w:tcPr>
          <w:p w14:paraId="00EA888B"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\F(3,8) </w:instrText>
            </w:r>
            <w:r w:rsidRPr="00071391">
              <w:rPr>
                <w:sz w:val="72"/>
                <w:szCs w:val="72"/>
              </w:rPr>
              <w:fldChar w:fldCharType="end"/>
            </w:r>
          </w:p>
        </w:tc>
      </w:tr>
      <w:tr w:rsidR="0039576F" w:rsidRPr="00071391" w14:paraId="5A8BFF44" w14:textId="77777777" w:rsidTr="00B166EA">
        <w:trPr>
          <w:trHeight w:val="2519"/>
          <w:jc w:val="center"/>
        </w:trPr>
        <w:tc>
          <w:tcPr>
            <w:tcW w:w="1667" w:type="pct"/>
            <w:vAlign w:val="center"/>
          </w:tcPr>
          <w:p w14:paraId="49471A7D"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\F(4,8) </w:instrText>
            </w:r>
            <w:r w:rsidRPr="00071391">
              <w:rPr>
                <w:sz w:val="72"/>
                <w:szCs w:val="72"/>
              </w:rPr>
              <w:fldChar w:fldCharType="end"/>
            </w:r>
          </w:p>
        </w:tc>
        <w:tc>
          <w:tcPr>
            <w:tcW w:w="1667" w:type="pct"/>
            <w:vAlign w:val="center"/>
          </w:tcPr>
          <w:p w14:paraId="47D00D51"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\F(5,6) </w:instrText>
            </w:r>
            <w:r w:rsidRPr="00071391">
              <w:rPr>
                <w:sz w:val="72"/>
                <w:szCs w:val="72"/>
              </w:rPr>
              <w:fldChar w:fldCharType="end"/>
            </w:r>
          </w:p>
        </w:tc>
        <w:tc>
          <w:tcPr>
            <w:tcW w:w="1667" w:type="pct"/>
            <w:vAlign w:val="center"/>
          </w:tcPr>
          <w:p w14:paraId="139BC973"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\F(1,6) </w:instrText>
            </w:r>
            <w:r w:rsidRPr="00071391">
              <w:rPr>
                <w:sz w:val="72"/>
                <w:szCs w:val="72"/>
              </w:rPr>
              <w:fldChar w:fldCharType="end"/>
            </w:r>
          </w:p>
        </w:tc>
      </w:tr>
      <w:tr w:rsidR="0039576F" w:rsidRPr="00071391" w14:paraId="6AD88A01" w14:textId="77777777" w:rsidTr="00B166EA">
        <w:trPr>
          <w:trHeight w:val="2519"/>
          <w:jc w:val="center"/>
        </w:trPr>
        <w:tc>
          <w:tcPr>
            <w:tcW w:w="1667" w:type="pct"/>
            <w:vAlign w:val="center"/>
          </w:tcPr>
          <w:p w14:paraId="47CCC046"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\F(2,4) </w:instrText>
            </w:r>
            <w:r w:rsidRPr="00071391">
              <w:rPr>
                <w:sz w:val="72"/>
                <w:szCs w:val="72"/>
              </w:rPr>
              <w:fldChar w:fldCharType="end"/>
            </w:r>
          </w:p>
        </w:tc>
        <w:tc>
          <w:tcPr>
            <w:tcW w:w="1667" w:type="pct"/>
            <w:vAlign w:val="center"/>
          </w:tcPr>
          <w:p w14:paraId="14F91ED7"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\F(1,8) </w:instrText>
            </w:r>
            <w:r w:rsidRPr="00071391">
              <w:rPr>
                <w:sz w:val="72"/>
                <w:szCs w:val="72"/>
              </w:rPr>
              <w:fldChar w:fldCharType="end"/>
            </w:r>
          </w:p>
        </w:tc>
        <w:tc>
          <w:tcPr>
            <w:tcW w:w="1667" w:type="pct"/>
            <w:vAlign w:val="center"/>
          </w:tcPr>
          <w:p w14:paraId="3420D6AD"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\F(3,5) </w:instrText>
            </w:r>
            <w:r w:rsidRPr="00071391">
              <w:rPr>
                <w:sz w:val="72"/>
                <w:szCs w:val="72"/>
              </w:rPr>
              <w:fldChar w:fldCharType="end"/>
            </w:r>
          </w:p>
        </w:tc>
      </w:tr>
    </w:tbl>
    <w:p w14:paraId="10333C6E" w14:textId="77777777" w:rsidR="0039576F" w:rsidRDefault="0039576F" w:rsidP="0039576F"/>
    <w:tbl>
      <w:tblPr>
        <w:tblW w:w="5000" w:type="pct"/>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3192"/>
        <w:gridCol w:w="3193"/>
        <w:gridCol w:w="3191"/>
      </w:tblGrid>
      <w:tr w:rsidR="0039576F" w:rsidRPr="00071391" w14:paraId="4088EA81" w14:textId="77777777" w:rsidTr="00B166EA">
        <w:trPr>
          <w:trHeight w:val="2715"/>
          <w:jc w:val="center"/>
        </w:trPr>
        <w:tc>
          <w:tcPr>
            <w:tcW w:w="1667" w:type="pct"/>
            <w:vAlign w:val="center"/>
          </w:tcPr>
          <w:p w14:paraId="18A20960" w14:textId="77777777" w:rsidR="0039576F" w:rsidRPr="00071391" w:rsidRDefault="0039576F" w:rsidP="006710BC">
            <w:pPr>
              <w:jc w:val="center"/>
              <w:rPr>
                <w:sz w:val="72"/>
                <w:szCs w:val="72"/>
              </w:rPr>
            </w:pPr>
            <w:r w:rsidRPr="00071391">
              <w:rPr>
                <w:sz w:val="72"/>
                <w:szCs w:val="72"/>
              </w:rPr>
              <w:fldChar w:fldCharType="begin"/>
            </w:r>
            <w:r w:rsidRPr="00071391">
              <w:rPr>
                <w:sz w:val="72"/>
                <w:szCs w:val="72"/>
              </w:rPr>
              <w:instrText xml:space="preserve"> EQ \F(1,10) </w:instrText>
            </w:r>
            <w:r w:rsidRPr="00071391">
              <w:rPr>
                <w:sz w:val="72"/>
                <w:szCs w:val="72"/>
              </w:rPr>
              <w:fldChar w:fldCharType="end"/>
            </w:r>
          </w:p>
        </w:tc>
        <w:tc>
          <w:tcPr>
            <w:tcW w:w="1667" w:type="pct"/>
            <w:vAlign w:val="center"/>
          </w:tcPr>
          <w:p w14:paraId="1B4E714F"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\F(4,6) </w:instrText>
            </w:r>
            <w:r w:rsidRPr="00071391">
              <w:rPr>
                <w:sz w:val="72"/>
                <w:szCs w:val="72"/>
              </w:rPr>
              <w:fldChar w:fldCharType="end"/>
            </w:r>
          </w:p>
        </w:tc>
        <w:tc>
          <w:tcPr>
            <w:tcW w:w="1667" w:type="pct"/>
            <w:vAlign w:val="center"/>
          </w:tcPr>
          <w:p w14:paraId="2B5D977A"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\F(3,6) </w:instrText>
            </w:r>
            <w:r w:rsidRPr="00071391">
              <w:rPr>
                <w:sz w:val="72"/>
                <w:szCs w:val="72"/>
              </w:rPr>
              <w:fldChar w:fldCharType="end"/>
            </w:r>
          </w:p>
        </w:tc>
      </w:tr>
      <w:tr w:rsidR="0039576F" w:rsidRPr="00071391" w14:paraId="0D35014B" w14:textId="77777777" w:rsidTr="00B166EA">
        <w:trPr>
          <w:trHeight w:val="2715"/>
          <w:jc w:val="center"/>
        </w:trPr>
        <w:tc>
          <w:tcPr>
            <w:tcW w:w="1667" w:type="pct"/>
            <w:vAlign w:val="center"/>
          </w:tcPr>
          <w:p w14:paraId="5F991FC4"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\F(3,10) </w:instrText>
            </w:r>
            <w:r w:rsidRPr="00071391">
              <w:rPr>
                <w:sz w:val="72"/>
                <w:szCs w:val="72"/>
              </w:rPr>
              <w:fldChar w:fldCharType="end"/>
            </w:r>
          </w:p>
        </w:tc>
        <w:tc>
          <w:tcPr>
            <w:tcW w:w="1667" w:type="pct"/>
            <w:vAlign w:val="center"/>
          </w:tcPr>
          <w:p w14:paraId="1064984B"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\F(5,10) </w:instrText>
            </w:r>
            <w:r w:rsidRPr="00071391">
              <w:rPr>
                <w:sz w:val="72"/>
                <w:szCs w:val="72"/>
              </w:rPr>
              <w:fldChar w:fldCharType="end"/>
            </w:r>
          </w:p>
        </w:tc>
        <w:tc>
          <w:tcPr>
            <w:tcW w:w="1667" w:type="pct"/>
            <w:vAlign w:val="center"/>
          </w:tcPr>
          <w:p w14:paraId="7E3332E9"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\F(6,10) </w:instrText>
            </w:r>
            <w:r w:rsidRPr="00071391">
              <w:rPr>
                <w:sz w:val="72"/>
                <w:szCs w:val="72"/>
              </w:rPr>
              <w:fldChar w:fldCharType="end"/>
            </w:r>
          </w:p>
        </w:tc>
      </w:tr>
      <w:tr w:rsidR="0039576F" w:rsidRPr="00071391" w14:paraId="684AAFF4" w14:textId="77777777" w:rsidTr="00B166EA">
        <w:trPr>
          <w:trHeight w:val="2715"/>
          <w:jc w:val="center"/>
        </w:trPr>
        <w:tc>
          <w:tcPr>
            <w:tcW w:w="1667" w:type="pct"/>
            <w:vAlign w:val="center"/>
          </w:tcPr>
          <w:p w14:paraId="457F5C68"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\F(2,8) </w:instrText>
            </w:r>
            <w:r w:rsidRPr="00071391">
              <w:rPr>
                <w:sz w:val="72"/>
                <w:szCs w:val="72"/>
              </w:rPr>
              <w:fldChar w:fldCharType="end"/>
            </w:r>
          </w:p>
        </w:tc>
        <w:tc>
          <w:tcPr>
            <w:tcW w:w="1667" w:type="pct"/>
            <w:vAlign w:val="center"/>
          </w:tcPr>
          <w:p w14:paraId="4208EA88"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\F(7,8) </w:instrText>
            </w:r>
            <w:r w:rsidRPr="00071391">
              <w:rPr>
                <w:sz w:val="72"/>
                <w:szCs w:val="72"/>
              </w:rPr>
              <w:fldChar w:fldCharType="end"/>
            </w:r>
          </w:p>
        </w:tc>
        <w:tc>
          <w:tcPr>
            <w:tcW w:w="1667" w:type="pct"/>
            <w:vAlign w:val="center"/>
          </w:tcPr>
          <w:p w14:paraId="6B1A3AB2"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\F(6,8) </w:instrText>
            </w:r>
            <w:r w:rsidRPr="00071391">
              <w:rPr>
                <w:sz w:val="72"/>
                <w:szCs w:val="72"/>
              </w:rPr>
              <w:fldChar w:fldCharType="end"/>
            </w:r>
          </w:p>
        </w:tc>
      </w:tr>
      <w:tr w:rsidR="0039576F" w:rsidRPr="00071391" w14:paraId="4BDE0996" w14:textId="77777777" w:rsidTr="00B166EA">
        <w:trPr>
          <w:trHeight w:val="2715"/>
          <w:jc w:val="center"/>
        </w:trPr>
        <w:tc>
          <w:tcPr>
            <w:tcW w:w="1667" w:type="pct"/>
            <w:vAlign w:val="center"/>
          </w:tcPr>
          <w:p w14:paraId="144D160F"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\F(5,8) </w:instrText>
            </w:r>
            <w:r w:rsidRPr="00071391">
              <w:rPr>
                <w:sz w:val="72"/>
                <w:szCs w:val="72"/>
              </w:rPr>
              <w:fldChar w:fldCharType="end"/>
            </w:r>
          </w:p>
        </w:tc>
        <w:tc>
          <w:tcPr>
            <w:tcW w:w="1667" w:type="pct"/>
            <w:vAlign w:val="center"/>
          </w:tcPr>
          <w:p w14:paraId="6C53FEEF"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\F(1,4) </w:instrText>
            </w:r>
            <w:r w:rsidRPr="00071391">
              <w:rPr>
                <w:sz w:val="72"/>
                <w:szCs w:val="72"/>
              </w:rPr>
              <w:fldChar w:fldCharType="end"/>
            </w:r>
          </w:p>
        </w:tc>
        <w:tc>
          <w:tcPr>
            <w:tcW w:w="1667" w:type="pct"/>
            <w:vAlign w:val="center"/>
          </w:tcPr>
          <w:p w14:paraId="6D680D95" w14:textId="77777777" w:rsidR="0039576F" w:rsidRPr="00071391" w:rsidRDefault="0039576F" w:rsidP="006710BC">
            <w:pPr>
              <w:jc w:val="center"/>
              <w:rPr>
                <w:b/>
                <w:sz w:val="72"/>
                <w:szCs w:val="72"/>
              </w:rPr>
            </w:pPr>
            <w:r w:rsidRPr="00071391">
              <w:rPr>
                <w:sz w:val="72"/>
                <w:szCs w:val="72"/>
              </w:rPr>
              <w:fldChar w:fldCharType="begin"/>
            </w:r>
            <w:r w:rsidRPr="00071391">
              <w:rPr>
                <w:sz w:val="72"/>
                <w:szCs w:val="72"/>
              </w:rPr>
              <w:instrText xml:space="preserve"> EQ \F(2,10) </w:instrText>
            </w:r>
            <w:r w:rsidRPr="00071391">
              <w:rPr>
                <w:sz w:val="72"/>
                <w:szCs w:val="72"/>
              </w:rPr>
              <w:fldChar w:fldCharType="end"/>
            </w:r>
          </w:p>
        </w:tc>
      </w:tr>
    </w:tbl>
    <w:p w14:paraId="7CD2ABDF" w14:textId="59E84962" w:rsidR="00EB40D2" w:rsidRDefault="00EB40D2" w:rsidP="00B166EA">
      <w:pPr>
        <w:pStyle w:val="Normal1"/>
        <w:spacing w:after="240"/>
      </w:pPr>
    </w:p>
    <w:sectPr w:rsidR="00EB40D2" w:rsidSect="00B166EA">
      <w:pgSz w:w="12240" w:h="15840" w:orient="landscape"/>
      <w:pgMar w:top="1440" w:right="1440" w:bottom="1440" w:left="144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D149A" w14:textId="77777777" w:rsidR="00DC3D78" w:rsidRDefault="00DC3D78" w:rsidP="00EB40D2">
      <w:r>
        <w:separator/>
      </w:r>
    </w:p>
  </w:endnote>
  <w:endnote w:type="continuationSeparator" w:id="0">
    <w:p w14:paraId="4094DEDB" w14:textId="77777777" w:rsidR="00DC3D78" w:rsidRDefault="00DC3D78" w:rsidP="00EB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D701" w14:textId="77777777" w:rsidR="00EB40D2" w:rsidRDefault="00EB40D2">
    <w:pPr>
      <w:pStyle w:val="Normal1"/>
      <w:tabs>
        <w:tab w:val="center" w:pos="4680"/>
        <w:tab w:val="right" w:pos="9360"/>
      </w:tabs>
    </w:pPr>
  </w:p>
  <w:p w14:paraId="4CD81043" w14:textId="77777777" w:rsidR="00EB40D2" w:rsidRDefault="00EB40D2">
    <w:pPr>
      <w:pStyle w:val="Normal1"/>
      <w:tabs>
        <w:tab w:val="center" w:pos="4680"/>
        <w:tab w:val="right" w:pos="9360"/>
      </w:tabs>
      <w:spacing w:after="720"/>
    </w:pPr>
  </w:p>
  <w:p w14:paraId="17F4BE72" w14:textId="77777777" w:rsidR="00EB40D2" w:rsidRDefault="00EB40D2">
    <w:pPr>
      <w:pStyle w:val="Normal1"/>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86DC7" w14:textId="77777777" w:rsidR="00DC3D78" w:rsidRDefault="00DC3D78" w:rsidP="00EB40D2">
      <w:r>
        <w:separator/>
      </w:r>
    </w:p>
  </w:footnote>
  <w:footnote w:type="continuationSeparator" w:id="0">
    <w:p w14:paraId="78985B69" w14:textId="77777777" w:rsidR="00DC3D78" w:rsidRDefault="00DC3D78" w:rsidP="00EB4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00B"/>
    <w:multiLevelType w:val="hybridMultilevel"/>
    <w:tmpl w:val="6414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298F"/>
    <w:multiLevelType w:val="multilevel"/>
    <w:tmpl w:val="0B24A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13699B"/>
    <w:multiLevelType w:val="multilevel"/>
    <w:tmpl w:val="5B320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593570"/>
    <w:multiLevelType w:val="multilevel"/>
    <w:tmpl w:val="79148020"/>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933319"/>
    <w:multiLevelType w:val="multilevel"/>
    <w:tmpl w:val="04FA318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nsid w:val="26722F9E"/>
    <w:multiLevelType w:val="hybridMultilevel"/>
    <w:tmpl w:val="9496CB04"/>
    <w:lvl w:ilvl="0" w:tplc="E352769E">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72661"/>
    <w:multiLevelType w:val="hybridMultilevel"/>
    <w:tmpl w:val="8326E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FD6007"/>
    <w:multiLevelType w:val="hybridMultilevel"/>
    <w:tmpl w:val="705E4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5E3DAC"/>
    <w:multiLevelType w:val="multilevel"/>
    <w:tmpl w:val="55FC0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9602805"/>
    <w:multiLevelType w:val="hybridMultilevel"/>
    <w:tmpl w:val="012079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4673F02"/>
    <w:multiLevelType w:val="multilevel"/>
    <w:tmpl w:val="DBDAD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838148C"/>
    <w:multiLevelType w:val="multilevel"/>
    <w:tmpl w:val="F0C68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EBD10CC"/>
    <w:multiLevelType w:val="multilevel"/>
    <w:tmpl w:val="3BA205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796D1E32"/>
    <w:multiLevelType w:val="hybridMultilevel"/>
    <w:tmpl w:val="4C04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2764E"/>
    <w:multiLevelType w:val="multilevel"/>
    <w:tmpl w:val="A0C66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E5F68CB"/>
    <w:multiLevelType w:val="multilevel"/>
    <w:tmpl w:val="F07C6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8"/>
  </w:num>
  <w:num w:numId="3">
    <w:abstractNumId w:val="4"/>
  </w:num>
  <w:num w:numId="4">
    <w:abstractNumId w:val="11"/>
  </w:num>
  <w:num w:numId="5">
    <w:abstractNumId w:val="1"/>
  </w:num>
  <w:num w:numId="6">
    <w:abstractNumId w:val="12"/>
  </w:num>
  <w:num w:numId="7">
    <w:abstractNumId w:val="2"/>
  </w:num>
  <w:num w:numId="8">
    <w:abstractNumId w:val="10"/>
  </w:num>
  <w:num w:numId="9">
    <w:abstractNumId w:val="7"/>
  </w:num>
  <w:num w:numId="10">
    <w:abstractNumId w:val="6"/>
  </w:num>
  <w:num w:numId="11">
    <w:abstractNumId w:val="15"/>
  </w:num>
  <w:num w:numId="12">
    <w:abstractNumId w:val="9"/>
  </w:num>
  <w:num w:numId="13">
    <w:abstractNumId w:val="13"/>
  </w:num>
  <w:num w:numId="14">
    <w:abstractNumId w:val="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D2"/>
    <w:rsid w:val="00143DB1"/>
    <w:rsid w:val="001E4E37"/>
    <w:rsid w:val="0026052A"/>
    <w:rsid w:val="002C3157"/>
    <w:rsid w:val="002D0B08"/>
    <w:rsid w:val="0039576F"/>
    <w:rsid w:val="0039597F"/>
    <w:rsid w:val="003C6245"/>
    <w:rsid w:val="003E5B81"/>
    <w:rsid w:val="00495270"/>
    <w:rsid w:val="00496B79"/>
    <w:rsid w:val="005C2BB3"/>
    <w:rsid w:val="005D2E31"/>
    <w:rsid w:val="006F36CB"/>
    <w:rsid w:val="00765714"/>
    <w:rsid w:val="007F171D"/>
    <w:rsid w:val="008153CA"/>
    <w:rsid w:val="00835773"/>
    <w:rsid w:val="00903ECF"/>
    <w:rsid w:val="0098291A"/>
    <w:rsid w:val="00995A21"/>
    <w:rsid w:val="009A0182"/>
    <w:rsid w:val="009C267C"/>
    <w:rsid w:val="009C2A4F"/>
    <w:rsid w:val="009F7676"/>
    <w:rsid w:val="00A140F4"/>
    <w:rsid w:val="00A40BCC"/>
    <w:rsid w:val="00A73518"/>
    <w:rsid w:val="00A83D39"/>
    <w:rsid w:val="00A84AAC"/>
    <w:rsid w:val="00B166EA"/>
    <w:rsid w:val="00B40C20"/>
    <w:rsid w:val="00B97D9B"/>
    <w:rsid w:val="00BD7273"/>
    <w:rsid w:val="00C2604F"/>
    <w:rsid w:val="00CD05D8"/>
    <w:rsid w:val="00D13FBA"/>
    <w:rsid w:val="00D15CF2"/>
    <w:rsid w:val="00DA0F2A"/>
    <w:rsid w:val="00DC3D78"/>
    <w:rsid w:val="00DE1375"/>
    <w:rsid w:val="00E2388A"/>
    <w:rsid w:val="00EA5BE8"/>
    <w:rsid w:val="00EB40D2"/>
    <w:rsid w:val="00EB45C5"/>
    <w:rsid w:val="00F02743"/>
    <w:rsid w:val="00F15047"/>
    <w:rsid w:val="00F8259B"/>
    <w:rsid w:val="00FF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D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B40D2"/>
    <w:pPr>
      <w:pBdr>
        <w:bottom w:val="single" w:sz="4" w:space="1" w:color="000000"/>
      </w:pBdr>
      <w:outlineLvl w:val="0"/>
    </w:pPr>
    <w:rPr>
      <w:b/>
      <w:sz w:val="36"/>
      <w:szCs w:val="36"/>
    </w:rPr>
  </w:style>
  <w:style w:type="paragraph" w:styleId="Heading2">
    <w:name w:val="heading 2"/>
    <w:basedOn w:val="Normal1"/>
    <w:next w:val="Normal1"/>
    <w:rsid w:val="00EB40D2"/>
    <w:pPr>
      <w:outlineLvl w:val="1"/>
    </w:pPr>
    <w:rPr>
      <w:b/>
      <w:sz w:val="28"/>
      <w:szCs w:val="28"/>
    </w:rPr>
  </w:style>
  <w:style w:type="paragraph" w:styleId="Heading3">
    <w:name w:val="heading 3"/>
    <w:basedOn w:val="Normal1"/>
    <w:next w:val="Normal1"/>
    <w:rsid w:val="00EB40D2"/>
    <w:pPr>
      <w:outlineLvl w:val="2"/>
    </w:pPr>
    <w:rPr>
      <w:b/>
    </w:rPr>
  </w:style>
  <w:style w:type="paragraph" w:styleId="Heading4">
    <w:name w:val="heading 4"/>
    <w:basedOn w:val="Normal1"/>
    <w:next w:val="Normal1"/>
    <w:rsid w:val="00EB40D2"/>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EB40D2"/>
    <w:pPr>
      <w:keepNext/>
      <w:keepLines/>
      <w:spacing w:before="200"/>
      <w:outlineLvl w:val="4"/>
    </w:pPr>
    <w:rPr>
      <w:rFonts w:ascii="Cambria" w:eastAsia="Cambria" w:hAnsi="Cambria" w:cs="Cambria"/>
      <w:color w:val="243F61"/>
    </w:rPr>
  </w:style>
  <w:style w:type="paragraph" w:styleId="Heading6">
    <w:name w:val="heading 6"/>
    <w:basedOn w:val="Normal1"/>
    <w:next w:val="Normal1"/>
    <w:rsid w:val="00EB40D2"/>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40D2"/>
  </w:style>
  <w:style w:type="paragraph" w:styleId="Title">
    <w:name w:val="Title"/>
    <w:basedOn w:val="Normal1"/>
    <w:next w:val="Normal1"/>
    <w:rsid w:val="00EB40D2"/>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1"/>
    <w:next w:val="Normal1"/>
    <w:rsid w:val="00EB40D2"/>
    <w:pPr>
      <w:keepNext/>
      <w:keepLines/>
      <w:spacing w:before="360" w:after="80"/>
    </w:pPr>
    <w:rPr>
      <w:rFonts w:ascii="Georgia" w:eastAsia="Georgia" w:hAnsi="Georgia" w:cs="Georgia"/>
      <w:i/>
      <w:color w:val="666666"/>
      <w:sz w:val="48"/>
      <w:szCs w:val="48"/>
    </w:rPr>
  </w:style>
  <w:style w:type="table" w:customStyle="1" w:styleId="a">
    <w:basedOn w:val="TableNormal"/>
    <w:rsid w:val="00EB40D2"/>
    <w:tblPr>
      <w:tblStyleRowBandSize w:val="1"/>
      <w:tblStyleColBandSize w:val="1"/>
    </w:tblPr>
  </w:style>
  <w:style w:type="paragraph" w:styleId="BalloonText">
    <w:name w:val="Balloon Text"/>
    <w:basedOn w:val="Normal"/>
    <w:link w:val="BalloonTextChar"/>
    <w:uiPriority w:val="99"/>
    <w:semiHidden/>
    <w:unhideWhenUsed/>
    <w:rsid w:val="00903ECF"/>
    <w:rPr>
      <w:rFonts w:ascii="Tahoma" w:hAnsi="Tahoma" w:cs="Tahoma"/>
      <w:sz w:val="16"/>
      <w:szCs w:val="16"/>
    </w:rPr>
  </w:style>
  <w:style w:type="character" w:customStyle="1" w:styleId="BalloonTextChar">
    <w:name w:val="Balloon Text Char"/>
    <w:basedOn w:val="DefaultParagraphFont"/>
    <w:link w:val="BalloonText"/>
    <w:uiPriority w:val="99"/>
    <w:semiHidden/>
    <w:rsid w:val="00903ECF"/>
    <w:rPr>
      <w:rFonts w:ascii="Tahoma" w:hAnsi="Tahoma" w:cs="Tahoma"/>
      <w:sz w:val="16"/>
      <w:szCs w:val="16"/>
    </w:rPr>
  </w:style>
  <w:style w:type="paragraph" w:styleId="Header">
    <w:name w:val="header"/>
    <w:basedOn w:val="Normal"/>
    <w:link w:val="HeaderChar"/>
    <w:uiPriority w:val="99"/>
    <w:unhideWhenUsed/>
    <w:rsid w:val="00B40C20"/>
    <w:pPr>
      <w:tabs>
        <w:tab w:val="center" w:pos="4680"/>
        <w:tab w:val="right" w:pos="9360"/>
      </w:tabs>
    </w:pPr>
  </w:style>
  <w:style w:type="character" w:customStyle="1" w:styleId="HeaderChar">
    <w:name w:val="Header Char"/>
    <w:basedOn w:val="DefaultParagraphFont"/>
    <w:link w:val="Header"/>
    <w:uiPriority w:val="99"/>
    <w:rsid w:val="00B40C20"/>
  </w:style>
  <w:style w:type="paragraph" w:styleId="Footer">
    <w:name w:val="footer"/>
    <w:basedOn w:val="Normal"/>
    <w:link w:val="FooterChar"/>
    <w:uiPriority w:val="99"/>
    <w:unhideWhenUsed/>
    <w:rsid w:val="00B40C20"/>
    <w:pPr>
      <w:tabs>
        <w:tab w:val="center" w:pos="4680"/>
        <w:tab w:val="right" w:pos="9360"/>
      </w:tabs>
    </w:pPr>
  </w:style>
  <w:style w:type="character" w:customStyle="1" w:styleId="FooterChar">
    <w:name w:val="Footer Char"/>
    <w:basedOn w:val="DefaultParagraphFont"/>
    <w:link w:val="Footer"/>
    <w:uiPriority w:val="99"/>
    <w:rsid w:val="00B40C20"/>
  </w:style>
  <w:style w:type="character" w:styleId="PlaceholderText">
    <w:name w:val="Placeholder Text"/>
    <w:basedOn w:val="DefaultParagraphFont"/>
    <w:uiPriority w:val="99"/>
    <w:semiHidden/>
    <w:rsid w:val="00F8259B"/>
    <w:rPr>
      <w:color w:val="808080"/>
    </w:rPr>
  </w:style>
  <w:style w:type="character" w:styleId="Hyperlink">
    <w:name w:val="Hyperlink"/>
    <w:basedOn w:val="DefaultParagraphFont"/>
    <w:uiPriority w:val="99"/>
    <w:unhideWhenUsed/>
    <w:rsid w:val="00B97D9B"/>
    <w:rPr>
      <w:color w:val="0000FF" w:themeColor="hyperlink"/>
      <w:u w:val="single"/>
    </w:rPr>
  </w:style>
  <w:style w:type="character" w:customStyle="1" w:styleId="UnresolvedMention">
    <w:name w:val="Unresolved Mention"/>
    <w:basedOn w:val="DefaultParagraphFont"/>
    <w:uiPriority w:val="99"/>
    <w:semiHidden/>
    <w:unhideWhenUsed/>
    <w:rsid w:val="00B97D9B"/>
    <w:rPr>
      <w:color w:val="808080"/>
      <w:shd w:val="clear" w:color="auto" w:fill="E6E6E6"/>
    </w:rPr>
  </w:style>
  <w:style w:type="table" w:styleId="TableGrid">
    <w:name w:val="Table Grid"/>
    <w:basedOn w:val="TableNormal"/>
    <w:uiPriority w:val="59"/>
    <w:rsid w:val="0039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76F"/>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EastAsia" w:hAnsiTheme="minorHAnsi" w:cstheme="minorBidi"/>
      <w:color w:val="auto"/>
      <w:sz w:val="22"/>
      <w:szCs w:val="22"/>
    </w:rPr>
  </w:style>
  <w:style w:type="character" w:styleId="FollowedHyperlink">
    <w:name w:val="FollowedHyperlink"/>
    <w:basedOn w:val="DefaultParagraphFont"/>
    <w:uiPriority w:val="99"/>
    <w:semiHidden/>
    <w:unhideWhenUsed/>
    <w:rsid w:val="00395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B40D2"/>
    <w:pPr>
      <w:pBdr>
        <w:bottom w:val="single" w:sz="4" w:space="1" w:color="000000"/>
      </w:pBdr>
      <w:outlineLvl w:val="0"/>
    </w:pPr>
    <w:rPr>
      <w:b/>
      <w:sz w:val="36"/>
      <w:szCs w:val="36"/>
    </w:rPr>
  </w:style>
  <w:style w:type="paragraph" w:styleId="Heading2">
    <w:name w:val="heading 2"/>
    <w:basedOn w:val="Normal1"/>
    <w:next w:val="Normal1"/>
    <w:rsid w:val="00EB40D2"/>
    <w:pPr>
      <w:outlineLvl w:val="1"/>
    </w:pPr>
    <w:rPr>
      <w:b/>
      <w:sz w:val="28"/>
      <w:szCs w:val="28"/>
    </w:rPr>
  </w:style>
  <w:style w:type="paragraph" w:styleId="Heading3">
    <w:name w:val="heading 3"/>
    <w:basedOn w:val="Normal1"/>
    <w:next w:val="Normal1"/>
    <w:rsid w:val="00EB40D2"/>
    <w:pPr>
      <w:outlineLvl w:val="2"/>
    </w:pPr>
    <w:rPr>
      <w:b/>
    </w:rPr>
  </w:style>
  <w:style w:type="paragraph" w:styleId="Heading4">
    <w:name w:val="heading 4"/>
    <w:basedOn w:val="Normal1"/>
    <w:next w:val="Normal1"/>
    <w:rsid w:val="00EB40D2"/>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EB40D2"/>
    <w:pPr>
      <w:keepNext/>
      <w:keepLines/>
      <w:spacing w:before="200"/>
      <w:outlineLvl w:val="4"/>
    </w:pPr>
    <w:rPr>
      <w:rFonts w:ascii="Cambria" w:eastAsia="Cambria" w:hAnsi="Cambria" w:cs="Cambria"/>
      <w:color w:val="243F61"/>
    </w:rPr>
  </w:style>
  <w:style w:type="paragraph" w:styleId="Heading6">
    <w:name w:val="heading 6"/>
    <w:basedOn w:val="Normal1"/>
    <w:next w:val="Normal1"/>
    <w:rsid w:val="00EB40D2"/>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40D2"/>
  </w:style>
  <w:style w:type="paragraph" w:styleId="Title">
    <w:name w:val="Title"/>
    <w:basedOn w:val="Normal1"/>
    <w:next w:val="Normal1"/>
    <w:rsid w:val="00EB40D2"/>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1"/>
    <w:next w:val="Normal1"/>
    <w:rsid w:val="00EB40D2"/>
    <w:pPr>
      <w:keepNext/>
      <w:keepLines/>
      <w:spacing w:before="360" w:after="80"/>
    </w:pPr>
    <w:rPr>
      <w:rFonts w:ascii="Georgia" w:eastAsia="Georgia" w:hAnsi="Georgia" w:cs="Georgia"/>
      <w:i/>
      <w:color w:val="666666"/>
      <w:sz w:val="48"/>
      <w:szCs w:val="48"/>
    </w:rPr>
  </w:style>
  <w:style w:type="table" w:customStyle="1" w:styleId="a">
    <w:basedOn w:val="TableNormal"/>
    <w:rsid w:val="00EB40D2"/>
    <w:tblPr>
      <w:tblStyleRowBandSize w:val="1"/>
      <w:tblStyleColBandSize w:val="1"/>
    </w:tblPr>
  </w:style>
  <w:style w:type="paragraph" w:styleId="BalloonText">
    <w:name w:val="Balloon Text"/>
    <w:basedOn w:val="Normal"/>
    <w:link w:val="BalloonTextChar"/>
    <w:uiPriority w:val="99"/>
    <w:semiHidden/>
    <w:unhideWhenUsed/>
    <w:rsid w:val="00903ECF"/>
    <w:rPr>
      <w:rFonts w:ascii="Tahoma" w:hAnsi="Tahoma" w:cs="Tahoma"/>
      <w:sz w:val="16"/>
      <w:szCs w:val="16"/>
    </w:rPr>
  </w:style>
  <w:style w:type="character" w:customStyle="1" w:styleId="BalloonTextChar">
    <w:name w:val="Balloon Text Char"/>
    <w:basedOn w:val="DefaultParagraphFont"/>
    <w:link w:val="BalloonText"/>
    <w:uiPriority w:val="99"/>
    <w:semiHidden/>
    <w:rsid w:val="00903ECF"/>
    <w:rPr>
      <w:rFonts w:ascii="Tahoma" w:hAnsi="Tahoma" w:cs="Tahoma"/>
      <w:sz w:val="16"/>
      <w:szCs w:val="16"/>
    </w:rPr>
  </w:style>
  <w:style w:type="paragraph" w:styleId="Header">
    <w:name w:val="header"/>
    <w:basedOn w:val="Normal"/>
    <w:link w:val="HeaderChar"/>
    <w:uiPriority w:val="99"/>
    <w:unhideWhenUsed/>
    <w:rsid w:val="00B40C20"/>
    <w:pPr>
      <w:tabs>
        <w:tab w:val="center" w:pos="4680"/>
        <w:tab w:val="right" w:pos="9360"/>
      </w:tabs>
    </w:pPr>
  </w:style>
  <w:style w:type="character" w:customStyle="1" w:styleId="HeaderChar">
    <w:name w:val="Header Char"/>
    <w:basedOn w:val="DefaultParagraphFont"/>
    <w:link w:val="Header"/>
    <w:uiPriority w:val="99"/>
    <w:rsid w:val="00B40C20"/>
  </w:style>
  <w:style w:type="paragraph" w:styleId="Footer">
    <w:name w:val="footer"/>
    <w:basedOn w:val="Normal"/>
    <w:link w:val="FooterChar"/>
    <w:uiPriority w:val="99"/>
    <w:unhideWhenUsed/>
    <w:rsid w:val="00B40C20"/>
    <w:pPr>
      <w:tabs>
        <w:tab w:val="center" w:pos="4680"/>
        <w:tab w:val="right" w:pos="9360"/>
      </w:tabs>
    </w:pPr>
  </w:style>
  <w:style w:type="character" w:customStyle="1" w:styleId="FooterChar">
    <w:name w:val="Footer Char"/>
    <w:basedOn w:val="DefaultParagraphFont"/>
    <w:link w:val="Footer"/>
    <w:uiPriority w:val="99"/>
    <w:rsid w:val="00B40C20"/>
  </w:style>
  <w:style w:type="character" w:styleId="PlaceholderText">
    <w:name w:val="Placeholder Text"/>
    <w:basedOn w:val="DefaultParagraphFont"/>
    <w:uiPriority w:val="99"/>
    <w:semiHidden/>
    <w:rsid w:val="00F8259B"/>
    <w:rPr>
      <w:color w:val="808080"/>
    </w:rPr>
  </w:style>
  <w:style w:type="character" w:styleId="Hyperlink">
    <w:name w:val="Hyperlink"/>
    <w:basedOn w:val="DefaultParagraphFont"/>
    <w:uiPriority w:val="99"/>
    <w:unhideWhenUsed/>
    <w:rsid w:val="00B97D9B"/>
    <w:rPr>
      <w:color w:val="0000FF" w:themeColor="hyperlink"/>
      <w:u w:val="single"/>
    </w:rPr>
  </w:style>
  <w:style w:type="character" w:customStyle="1" w:styleId="UnresolvedMention">
    <w:name w:val="Unresolved Mention"/>
    <w:basedOn w:val="DefaultParagraphFont"/>
    <w:uiPriority w:val="99"/>
    <w:semiHidden/>
    <w:unhideWhenUsed/>
    <w:rsid w:val="00B97D9B"/>
    <w:rPr>
      <w:color w:val="808080"/>
      <w:shd w:val="clear" w:color="auto" w:fill="E6E6E6"/>
    </w:rPr>
  </w:style>
  <w:style w:type="table" w:styleId="TableGrid">
    <w:name w:val="Table Grid"/>
    <w:basedOn w:val="TableNormal"/>
    <w:uiPriority w:val="59"/>
    <w:rsid w:val="0039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76F"/>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EastAsia" w:hAnsiTheme="minorHAnsi" w:cstheme="minorBidi"/>
      <w:color w:val="auto"/>
      <w:sz w:val="22"/>
      <w:szCs w:val="22"/>
    </w:rPr>
  </w:style>
  <w:style w:type="character" w:styleId="FollowedHyperlink">
    <w:name w:val="FollowedHyperlink"/>
    <w:basedOn w:val="DefaultParagraphFont"/>
    <w:uiPriority w:val="99"/>
    <w:semiHidden/>
    <w:unhideWhenUsed/>
    <w:rsid w:val="00395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youtube.com/watch?v=mypm3guixc8"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0F14-CC6F-466E-B6D5-7594DC06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pgx12977</cp:lastModifiedBy>
  <cp:revision>4</cp:revision>
  <dcterms:created xsi:type="dcterms:W3CDTF">2018-11-27T13:05:00Z</dcterms:created>
  <dcterms:modified xsi:type="dcterms:W3CDTF">2018-12-17T19:15:00Z</dcterms:modified>
</cp:coreProperties>
</file>