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A395" w14:textId="2AF80C02" w:rsidR="00562831" w:rsidRPr="00A058B4" w:rsidRDefault="00A355D4" w:rsidP="009341F0">
      <w:pPr>
        <w:pStyle w:val="Heading1"/>
      </w:pPr>
      <w:r>
        <w:t>Comparing Numbers</w:t>
      </w:r>
      <w:r w:rsidR="00BF046F">
        <w:t xml:space="preserve"> </w:t>
      </w:r>
      <w:r w:rsidR="00FC2EF8">
        <w:t xml:space="preserve">– </w:t>
      </w:r>
      <w:r w:rsidR="00BF046F">
        <w:t>A</w:t>
      </w:r>
      <w:r w:rsidR="00562831" w:rsidRPr="00A058B4">
        <w:t xml:space="preserve"> Co-</w:t>
      </w:r>
      <w:r w:rsidR="00562831" w:rsidRPr="009341F0">
        <w:t>Teaching</w:t>
      </w:r>
      <w:r w:rsidR="00562831" w:rsidRPr="00A058B4">
        <w:t xml:space="preserve"> Lesson Plan </w:t>
      </w:r>
    </w:p>
    <w:p w14:paraId="5D46A398" w14:textId="77777777" w:rsidR="00BF046F" w:rsidRDefault="00BF046F">
      <w:pPr>
        <w:pStyle w:val="Heading2"/>
      </w:pPr>
      <w:r w:rsidRPr="003B4D66">
        <w:t>Co-Teaching Approach</w:t>
      </w:r>
      <w:r>
        <w:t xml:space="preserve">es </w:t>
      </w:r>
    </w:p>
    <w:p w14:paraId="376DE8D0" w14:textId="57FDB843" w:rsidR="006548F0" w:rsidRDefault="00BF046F">
      <w:r w:rsidRPr="00F14257">
        <w:t xml:space="preserve">A </w:t>
      </w:r>
      <w:r>
        <w:t>“</w:t>
      </w:r>
      <w:r w:rsidRPr="00F14257">
        <w:t>(</w:t>
      </w:r>
      <w:r>
        <w:t>Y</w:t>
      </w:r>
      <w:r w:rsidRPr="00F14257">
        <w:t>)</w:t>
      </w:r>
      <w:r>
        <w:t>”</w:t>
      </w:r>
      <w:r w:rsidR="00FC2EF8">
        <w:t xml:space="preserve"> </w:t>
      </w:r>
      <w:r>
        <w:t xml:space="preserve">in front of the following list items </w:t>
      </w:r>
      <w:r w:rsidRPr="00F14257">
        <w:t>indicates</w:t>
      </w:r>
      <w:r w:rsidR="006548F0">
        <w:t xml:space="preserve"> </w:t>
      </w:r>
      <w:r w:rsidRPr="00F14257">
        <w:t xml:space="preserve">the approach </w:t>
      </w:r>
      <w:r>
        <w:t xml:space="preserve">is outlined in the lesson. </w:t>
      </w:r>
    </w:p>
    <w:p w14:paraId="5D46A399" w14:textId="048ACDAF" w:rsidR="00BF046F" w:rsidRDefault="00FC2EF8">
      <w:r>
        <w:t xml:space="preserve">An </w:t>
      </w:r>
      <w:r w:rsidR="00BF046F">
        <w:t>“(N)”</w:t>
      </w:r>
      <w:r>
        <w:t xml:space="preserve"> </w:t>
      </w:r>
      <w:r w:rsidR="00BF046F">
        <w:t>in front of the</w:t>
      </w:r>
      <w:r w:rsidR="006548F0">
        <w:t xml:space="preserve"> following list items indicates </w:t>
      </w:r>
      <w:r w:rsidR="00BF046F">
        <w:t>the approach is not outlined in the lesson.</w:t>
      </w:r>
    </w:p>
    <w:p w14:paraId="5D46A39B" w14:textId="77777777" w:rsidR="00BF046F" w:rsidRPr="003B4D66" w:rsidRDefault="00A41995">
      <w:pPr>
        <w:pStyle w:val="ListParagraph"/>
        <w:numPr>
          <w:ilvl w:val="0"/>
          <w:numId w:val="8"/>
        </w:numPr>
      </w:pPr>
      <w:r>
        <w:t>(N</w:t>
      </w:r>
      <w:r w:rsidR="00BF046F">
        <w:t xml:space="preserve">) </w:t>
      </w:r>
      <w:r w:rsidR="00BF046F" w:rsidRPr="003B4D66">
        <w:t>Parallel Teach</w:t>
      </w:r>
      <w:r w:rsidR="00BF046F">
        <w:t>ing</w:t>
      </w:r>
    </w:p>
    <w:p w14:paraId="5D46A39C" w14:textId="77777777" w:rsidR="00BF046F" w:rsidRPr="003B4D66" w:rsidRDefault="00BF046F">
      <w:pPr>
        <w:pStyle w:val="ListParagraph"/>
        <w:numPr>
          <w:ilvl w:val="0"/>
          <w:numId w:val="8"/>
        </w:numPr>
      </w:pPr>
      <w:r>
        <w:t>(Y) Team Teaching</w:t>
      </w:r>
    </w:p>
    <w:p w14:paraId="5D46A39D" w14:textId="4C42E342" w:rsidR="00BF046F" w:rsidRPr="00BA4F2C" w:rsidRDefault="00D50FB1">
      <w:pPr>
        <w:pStyle w:val="ListParagraph"/>
        <w:numPr>
          <w:ilvl w:val="0"/>
          <w:numId w:val="8"/>
        </w:numPr>
        <w:rPr>
          <w:b/>
        </w:rPr>
      </w:pPr>
      <w:r>
        <w:t>(Y</w:t>
      </w:r>
      <w:r w:rsidR="00BF046F">
        <w:t xml:space="preserve">) </w:t>
      </w:r>
      <w:r w:rsidR="00BF046F" w:rsidRPr="003B4D66">
        <w:t>Station Teach</w:t>
      </w:r>
      <w:r w:rsidR="00BF046F">
        <w:t>ing</w:t>
      </w:r>
    </w:p>
    <w:p w14:paraId="5D46A39E" w14:textId="0067D526" w:rsidR="00BF046F" w:rsidRPr="003B4D66" w:rsidRDefault="00A41995">
      <w:pPr>
        <w:pStyle w:val="ListParagraph"/>
        <w:numPr>
          <w:ilvl w:val="0"/>
          <w:numId w:val="8"/>
        </w:numPr>
      </w:pPr>
      <w:r>
        <w:t>(</w:t>
      </w:r>
      <w:r w:rsidR="001F6701">
        <w:t>Y</w:t>
      </w:r>
      <w:r w:rsidR="00BF046F">
        <w:t>) One Teach/One Observe</w:t>
      </w:r>
    </w:p>
    <w:p w14:paraId="5D46A39F" w14:textId="77777777" w:rsidR="00BF046F" w:rsidRDefault="00BF046F">
      <w:pPr>
        <w:pStyle w:val="ListParagraph"/>
        <w:numPr>
          <w:ilvl w:val="0"/>
          <w:numId w:val="8"/>
        </w:numPr>
      </w:pPr>
      <w:r>
        <w:t>(</w:t>
      </w:r>
      <w:r w:rsidR="00A41995">
        <w:t>N</w:t>
      </w:r>
      <w:r>
        <w:t xml:space="preserve">) </w:t>
      </w:r>
      <w:r w:rsidRPr="003B4D66">
        <w:t>Alternative Teach</w:t>
      </w:r>
      <w:r>
        <w:t>ing</w:t>
      </w:r>
    </w:p>
    <w:p w14:paraId="5D46A3A0" w14:textId="25053B4D" w:rsidR="00BF046F" w:rsidRDefault="00A41995">
      <w:pPr>
        <w:pStyle w:val="ListParagraph"/>
        <w:numPr>
          <w:ilvl w:val="0"/>
          <w:numId w:val="8"/>
        </w:numPr>
      </w:pPr>
      <w:r>
        <w:t>(</w:t>
      </w:r>
      <w:r w:rsidR="001F6701">
        <w:t>N</w:t>
      </w:r>
      <w:r w:rsidR="00BF046F">
        <w:t xml:space="preserve">) </w:t>
      </w:r>
      <w:r w:rsidR="00BF046F" w:rsidRPr="003B4D66">
        <w:t>One Teach</w:t>
      </w:r>
      <w:r w:rsidR="00BF046F">
        <w:t>/One Assist</w:t>
      </w:r>
      <w:r w:rsidR="00BF046F" w:rsidRPr="003B4D66">
        <w:t xml:space="preserve"> </w:t>
      </w:r>
    </w:p>
    <w:p w14:paraId="5D46A3A2" w14:textId="77777777" w:rsidR="00BF046F" w:rsidRPr="006548F0" w:rsidRDefault="00BF046F">
      <w:pPr>
        <w:pStyle w:val="Heading2"/>
        <w:rPr>
          <w:sz w:val="24"/>
        </w:rPr>
      </w:pPr>
    </w:p>
    <w:p w14:paraId="5D46A3A3" w14:textId="77777777" w:rsidR="00354FC9" w:rsidRPr="00A058B4" w:rsidRDefault="00E3045B">
      <w:pPr>
        <w:pStyle w:val="Heading2"/>
      </w:pPr>
      <w:r w:rsidRPr="00A058B4">
        <w:t>Subject</w:t>
      </w:r>
    </w:p>
    <w:p w14:paraId="5D46A3A4" w14:textId="73EDEA88" w:rsidR="00E3045B" w:rsidRPr="003B4D66" w:rsidRDefault="00FC2EF8">
      <w:r>
        <w:t>Grade 1 Mathematics</w:t>
      </w:r>
    </w:p>
    <w:p w14:paraId="7441226E" w14:textId="094B4784" w:rsidR="00136373" w:rsidRDefault="002562B6" w:rsidP="006548F0">
      <w:pPr>
        <w:pStyle w:val="Heading2"/>
        <w:spacing w:before="240"/>
      </w:pPr>
      <w:r>
        <w:t>Strand</w:t>
      </w:r>
    </w:p>
    <w:p w14:paraId="5D46A3A6" w14:textId="1D72B07D" w:rsidR="002562B6" w:rsidRPr="00136373" w:rsidRDefault="00136373">
      <w:pPr>
        <w:pStyle w:val="Heading2"/>
        <w:rPr>
          <w:b w:val="0"/>
          <w:sz w:val="24"/>
        </w:rPr>
      </w:pPr>
      <w:r>
        <w:rPr>
          <w:b w:val="0"/>
          <w:sz w:val="24"/>
        </w:rPr>
        <w:t>Number and Number Sense</w:t>
      </w:r>
    </w:p>
    <w:p w14:paraId="5D46A3A8" w14:textId="280339D8" w:rsidR="00354FC9" w:rsidRDefault="00354FC9" w:rsidP="006548F0">
      <w:pPr>
        <w:pStyle w:val="Heading2"/>
        <w:spacing w:before="240"/>
      </w:pPr>
      <w:r>
        <w:t>Topic</w:t>
      </w:r>
    </w:p>
    <w:p w14:paraId="5D46A3A9" w14:textId="77777777" w:rsidR="00E3045B" w:rsidRPr="003B4D66" w:rsidRDefault="008C69AA">
      <w:r>
        <w:t>Comparing Numbers</w:t>
      </w:r>
    </w:p>
    <w:p w14:paraId="5D46A3AA" w14:textId="7F42919B" w:rsidR="00354FC9" w:rsidRDefault="00FC2EF8" w:rsidP="006548F0">
      <w:pPr>
        <w:pStyle w:val="Heading2"/>
        <w:spacing w:before="240"/>
      </w:pPr>
      <w:r>
        <w:t>SOL</w:t>
      </w:r>
    </w:p>
    <w:p w14:paraId="526CF3EB" w14:textId="60E954E2" w:rsidR="00FC2EF8" w:rsidRPr="00FC2EF8" w:rsidRDefault="008C69AA" w:rsidP="006548F0">
      <w:pPr>
        <w:pStyle w:val="NormalWeb"/>
        <w:tabs>
          <w:tab w:val="left" w:pos="720"/>
        </w:tabs>
        <w:spacing w:before="0" w:beforeAutospacing="0" w:after="0" w:afterAutospacing="0"/>
        <w:rPr>
          <w:color w:val="000000"/>
        </w:rPr>
      </w:pPr>
      <w:r w:rsidRPr="008C69AA">
        <w:rPr>
          <w:color w:val="000000"/>
        </w:rPr>
        <w:t>1.</w:t>
      </w:r>
      <w:r w:rsidRPr="00FC2EF8">
        <w:rPr>
          <w:color w:val="000000"/>
        </w:rPr>
        <w:t>2</w:t>
      </w:r>
      <w:r w:rsidR="005E5328">
        <w:rPr>
          <w:color w:val="000000"/>
        </w:rPr>
        <w:tab/>
      </w:r>
      <w:r w:rsidR="00FC2EF8" w:rsidRPr="006548F0">
        <w:t>The student, given up to 110 objects, will</w:t>
      </w:r>
    </w:p>
    <w:p w14:paraId="5D46A3AB" w14:textId="37D8E9AF" w:rsidR="008C69AA" w:rsidRPr="008C69AA" w:rsidRDefault="008C69AA" w:rsidP="006548F0">
      <w:pPr>
        <w:pStyle w:val="NormalWeb"/>
        <w:numPr>
          <w:ilvl w:val="0"/>
          <w:numId w:val="25"/>
        </w:numPr>
        <w:spacing w:before="0" w:beforeAutospacing="0" w:after="0" w:afterAutospacing="0"/>
        <w:ind w:left="1080"/>
      </w:pPr>
      <w:r w:rsidRPr="008C69AA">
        <w:rPr>
          <w:color w:val="000000"/>
        </w:rPr>
        <w:t xml:space="preserve">Compare two numbers between 0 and 110 represented pictorially or with concrete objects, using the words </w:t>
      </w:r>
      <w:r w:rsidRPr="006548F0">
        <w:rPr>
          <w:i/>
          <w:color w:val="000000"/>
        </w:rPr>
        <w:t>greater than</w:t>
      </w:r>
      <w:r w:rsidRPr="008C69AA">
        <w:rPr>
          <w:color w:val="000000"/>
        </w:rPr>
        <w:t xml:space="preserve">, </w:t>
      </w:r>
      <w:r w:rsidRPr="006548F0">
        <w:rPr>
          <w:i/>
          <w:color w:val="000000"/>
        </w:rPr>
        <w:t>less than</w:t>
      </w:r>
      <w:r w:rsidRPr="008C69AA">
        <w:rPr>
          <w:color w:val="000000"/>
        </w:rPr>
        <w:t xml:space="preserve">, or </w:t>
      </w:r>
      <w:r w:rsidRPr="006548F0">
        <w:rPr>
          <w:i/>
          <w:color w:val="000000"/>
        </w:rPr>
        <w:t>equal to</w:t>
      </w:r>
      <w:r w:rsidR="00FC2EF8">
        <w:rPr>
          <w:color w:val="000000"/>
        </w:rPr>
        <w:t>;</w:t>
      </w:r>
    </w:p>
    <w:p w14:paraId="5D46A3AC" w14:textId="37A76B59" w:rsidR="008C69AA" w:rsidRPr="008C69AA" w:rsidRDefault="008C69AA" w:rsidP="006548F0">
      <w:pPr>
        <w:pStyle w:val="NormalWeb"/>
        <w:numPr>
          <w:ilvl w:val="0"/>
          <w:numId w:val="25"/>
        </w:numPr>
        <w:spacing w:before="0" w:beforeAutospacing="0" w:after="0" w:afterAutospacing="0"/>
        <w:ind w:left="1080"/>
      </w:pPr>
      <w:r w:rsidRPr="008C69AA">
        <w:rPr>
          <w:color w:val="000000"/>
        </w:rPr>
        <w:t>Order three or fewer sets from least to greatest and greatest to least</w:t>
      </w:r>
      <w:r w:rsidR="00FC2EF8">
        <w:rPr>
          <w:color w:val="000000"/>
        </w:rPr>
        <w:t>.</w:t>
      </w:r>
    </w:p>
    <w:p w14:paraId="5D46A3AD" w14:textId="7884D884" w:rsidR="00354FC9" w:rsidRDefault="00354FC9" w:rsidP="006548F0">
      <w:pPr>
        <w:pStyle w:val="Heading2"/>
        <w:spacing w:before="240"/>
      </w:pPr>
      <w:r>
        <w:t>Outcomes</w:t>
      </w:r>
    </w:p>
    <w:p w14:paraId="5D46A3AE" w14:textId="1B732EED" w:rsidR="008C69AA" w:rsidRPr="008C69AA" w:rsidRDefault="008C69AA">
      <w:pPr>
        <w:pStyle w:val="NormalWeb"/>
        <w:spacing w:before="0" w:beforeAutospacing="0" w:after="0" w:afterAutospacing="0"/>
      </w:pPr>
      <w:r w:rsidRPr="008C69AA">
        <w:rPr>
          <w:color w:val="000000"/>
        </w:rPr>
        <w:t>Students will be able to create and explain how and why a given set is greater than, less than</w:t>
      </w:r>
      <w:r w:rsidR="00FC2EF8">
        <w:rPr>
          <w:color w:val="000000"/>
        </w:rPr>
        <w:t>,</w:t>
      </w:r>
      <w:r w:rsidRPr="008C69AA">
        <w:rPr>
          <w:color w:val="000000"/>
        </w:rPr>
        <w:t xml:space="preserve"> or equal to another set.</w:t>
      </w:r>
      <w:r w:rsidR="00FC2EF8">
        <w:rPr>
          <w:color w:val="000000"/>
        </w:rPr>
        <w:t xml:space="preserve"> </w:t>
      </w:r>
      <w:r w:rsidRPr="008C69AA">
        <w:rPr>
          <w:color w:val="000000"/>
        </w:rPr>
        <w:t>Students will be able to order three or fewer sets up to 110 objects from least to greatest and greatest to least.</w:t>
      </w:r>
    </w:p>
    <w:p w14:paraId="5D46A3AF" w14:textId="2CDBEE06" w:rsidR="00271DEA" w:rsidRDefault="00354FC9" w:rsidP="006548F0">
      <w:pPr>
        <w:pStyle w:val="Heading2"/>
        <w:spacing w:before="240"/>
      </w:pPr>
      <w:r>
        <w:t xml:space="preserve">Materials </w:t>
      </w:r>
    </w:p>
    <w:p w14:paraId="5D46A3B0" w14:textId="223B17A3" w:rsidR="008C69AA" w:rsidRDefault="00FC2EF8">
      <w:pPr>
        <w:pStyle w:val="NormalWeb"/>
        <w:numPr>
          <w:ilvl w:val="0"/>
          <w:numId w:val="2"/>
        </w:numPr>
        <w:spacing w:before="0" w:beforeAutospacing="0" w:after="0" w:afterAutospacing="0"/>
      </w:pPr>
      <w:r>
        <w:rPr>
          <w:rFonts w:ascii="Times" w:hAnsi="Times"/>
          <w:color w:val="000000"/>
        </w:rPr>
        <w:t>Demonstration tool (e.g., document camera, digital display)</w:t>
      </w:r>
    </w:p>
    <w:p w14:paraId="5D46A3B1" w14:textId="500698B0" w:rsidR="008C69AA" w:rsidRDefault="00FC2EF8">
      <w:pPr>
        <w:pStyle w:val="NormalWeb"/>
        <w:numPr>
          <w:ilvl w:val="0"/>
          <w:numId w:val="2"/>
        </w:numPr>
        <w:spacing w:before="0" w:beforeAutospacing="0" w:after="0" w:afterAutospacing="0"/>
      </w:pPr>
      <w:r>
        <w:rPr>
          <w:rFonts w:ascii="Times" w:hAnsi="Times"/>
          <w:color w:val="000000"/>
        </w:rPr>
        <w:lastRenderedPageBreak/>
        <w:t>Cubes</w:t>
      </w:r>
      <w:r w:rsidR="008C69AA">
        <w:rPr>
          <w:rFonts w:ascii="Times" w:hAnsi="Times"/>
          <w:color w:val="000000"/>
        </w:rPr>
        <w:t>, tiles, or other concrete objects</w:t>
      </w:r>
    </w:p>
    <w:p w14:paraId="5D46A3B2" w14:textId="69619B22" w:rsidR="008C69AA" w:rsidRDefault="004766E5">
      <w:pPr>
        <w:pStyle w:val="NormalWeb"/>
        <w:numPr>
          <w:ilvl w:val="0"/>
          <w:numId w:val="2"/>
        </w:numPr>
        <w:spacing w:before="0" w:beforeAutospacing="0" w:after="0" w:afterAutospacing="0"/>
      </w:pPr>
      <w:hyperlink r:id="rId9" w:history="1">
        <w:bookmarkStart w:id="0" w:name="_GoBack"/>
        <w:bookmarkEnd w:id="0"/>
        <w:r>
          <w:rPr>
            <w:rStyle w:val="Hyperlink"/>
            <w:rFonts w:ascii="Times" w:hAnsi="Times"/>
          </w:rPr>
          <w:t xml:space="preserve">VDOE Mathematics Vocabulary Word Wall Cards </w:t>
        </w:r>
      </w:hyperlink>
    </w:p>
    <w:p w14:paraId="01C11908" w14:textId="53587168" w:rsidR="00B0468B" w:rsidRDefault="008C69AA">
      <w:pPr>
        <w:pStyle w:val="NormalWeb"/>
        <w:numPr>
          <w:ilvl w:val="0"/>
          <w:numId w:val="2"/>
        </w:numPr>
        <w:spacing w:before="0" w:beforeAutospacing="0" w:after="0" w:afterAutospacing="0"/>
      </w:pPr>
      <w:r>
        <w:rPr>
          <w:rFonts w:ascii="Times" w:hAnsi="Times"/>
          <w:color w:val="000000"/>
        </w:rPr>
        <w:t>Student paper</w:t>
      </w:r>
      <w:r w:rsidR="00B0468B">
        <w:rPr>
          <w:rFonts w:ascii="Times" w:hAnsi="Times"/>
          <w:color w:val="000000"/>
        </w:rPr>
        <w:t>s</w:t>
      </w:r>
      <w:r>
        <w:rPr>
          <w:rFonts w:ascii="Times" w:hAnsi="Times"/>
          <w:color w:val="000000"/>
        </w:rPr>
        <w:t xml:space="preserve"> for Comparing Stickers Station</w:t>
      </w:r>
      <w:r w:rsidR="00B0468B">
        <w:rPr>
          <w:rFonts w:ascii="Times" w:hAnsi="Times"/>
          <w:color w:val="000000"/>
        </w:rPr>
        <w:t xml:space="preserve"> </w:t>
      </w:r>
      <w:r>
        <w:rPr>
          <w:rFonts w:ascii="Times" w:hAnsi="Times"/>
          <w:color w:val="000000"/>
        </w:rPr>
        <w:t>1</w:t>
      </w:r>
      <w:r w:rsidR="00B0468B">
        <w:rPr>
          <w:rFonts w:ascii="Times" w:hAnsi="Times"/>
          <w:color w:val="000000"/>
        </w:rPr>
        <w:t>: (</w:t>
      </w:r>
      <w:r w:rsidR="00FC2EF8">
        <w:rPr>
          <w:rFonts w:ascii="Times" w:hAnsi="Times"/>
          <w:color w:val="000000"/>
        </w:rPr>
        <w:t xml:space="preserve">three </w:t>
      </w:r>
      <w:r w:rsidR="00B0468B">
        <w:rPr>
          <w:rFonts w:ascii="Times" w:hAnsi="Times"/>
          <w:color w:val="000000"/>
        </w:rPr>
        <w:t>half</w:t>
      </w:r>
      <w:r w:rsidR="00FC2EF8">
        <w:rPr>
          <w:rFonts w:ascii="Times" w:hAnsi="Times"/>
          <w:color w:val="000000"/>
        </w:rPr>
        <w:t xml:space="preserve"> </w:t>
      </w:r>
      <w:r w:rsidR="00B0468B">
        <w:rPr>
          <w:rFonts w:ascii="Times" w:hAnsi="Times"/>
          <w:color w:val="000000"/>
        </w:rPr>
        <w:t xml:space="preserve">sheets, each labeled </w:t>
      </w:r>
      <w:r w:rsidR="00FC2EF8">
        <w:rPr>
          <w:rFonts w:ascii="Times" w:hAnsi="Times"/>
          <w:color w:val="000000"/>
        </w:rPr>
        <w:t>“</w:t>
      </w:r>
      <w:r w:rsidR="00B0468B">
        <w:rPr>
          <w:rFonts w:ascii="Times" w:hAnsi="Times"/>
          <w:color w:val="000000"/>
        </w:rPr>
        <w:t>greater than,</w:t>
      </w:r>
      <w:r w:rsidR="00FC2EF8">
        <w:rPr>
          <w:rFonts w:ascii="Times" w:hAnsi="Times"/>
          <w:color w:val="000000"/>
        </w:rPr>
        <w:t>”</w:t>
      </w:r>
      <w:r w:rsidR="00B0468B">
        <w:rPr>
          <w:rFonts w:ascii="Times" w:hAnsi="Times"/>
          <w:color w:val="000000"/>
        </w:rPr>
        <w:t xml:space="preserve"> </w:t>
      </w:r>
      <w:r w:rsidR="00FC2EF8">
        <w:t>“</w:t>
      </w:r>
      <w:r w:rsidR="00B0468B">
        <w:t>less than,</w:t>
      </w:r>
      <w:r w:rsidR="00FC2EF8">
        <w:t>”</w:t>
      </w:r>
      <w:r w:rsidR="00B0468B">
        <w:t xml:space="preserve"> </w:t>
      </w:r>
      <w:r w:rsidR="00FC2EF8">
        <w:t xml:space="preserve">“equal” </w:t>
      </w:r>
      <w:r w:rsidR="00B0468B">
        <w:t>across the bottom)</w:t>
      </w:r>
    </w:p>
    <w:p w14:paraId="04060F7E" w14:textId="21525A33" w:rsidR="001F6701" w:rsidRDefault="001F6701">
      <w:pPr>
        <w:pStyle w:val="NormalWeb"/>
        <w:numPr>
          <w:ilvl w:val="0"/>
          <w:numId w:val="2"/>
        </w:numPr>
        <w:spacing w:before="0" w:beforeAutospacing="0" w:after="0" w:afterAutospacing="0"/>
      </w:pPr>
      <w:r>
        <w:rPr>
          <w:rFonts w:ascii="Times" w:hAnsi="Times"/>
          <w:color w:val="000000"/>
        </w:rPr>
        <w:t xml:space="preserve">Bags/containers of manipulatives containing </w:t>
      </w:r>
      <w:r w:rsidR="00FC2EF8">
        <w:rPr>
          <w:rFonts w:ascii="Times" w:hAnsi="Times"/>
          <w:color w:val="000000"/>
        </w:rPr>
        <w:t xml:space="preserve">three </w:t>
      </w:r>
      <w:r>
        <w:rPr>
          <w:rFonts w:ascii="Times" w:hAnsi="Times"/>
          <w:color w:val="000000"/>
        </w:rPr>
        <w:t>sets of objects (</w:t>
      </w:r>
      <w:r w:rsidR="00FC2EF8">
        <w:rPr>
          <w:rFonts w:ascii="Times" w:hAnsi="Times"/>
          <w:color w:val="000000"/>
        </w:rPr>
        <w:t xml:space="preserve">one </w:t>
      </w:r>
      <w:r>
        <w:rPr>
          <w:rFonts w:ascii="Times" w:hAnsi="Times"/>
          <w:color w:val="000000"/>
        </w:rPr>
        <w:t>per student in a center</w:t>
      </w:r>
      <w:r w:rsidR="00FC2EF8">
        <w:rPr>
          <w:rFonts w:ascii="Times" w:hAnsi="Times"/>
          <w:color w:val="000000"/>
        </w:rPr>
        <w:t>; i.e., one</w:t>
      </w:r>
      <w:r>
        <w:rPr>
          <w:rFonts w:ascii="Times" w:hAnsi="Times"/>
          <w:color w:val="000000"/>
        </w:rPr>
        <w:t xml:space="preserve"> bag/container may contain 65 pennies, 88 toothpicks, 47 cotton balls</w:t>
      </w:r>
      <w:r w:rsidR="00FC2EF8">
        <w:rPr>
          <w:rFonts w:ascii="Times" w:hAnsi="Times"/>
          <w:color w:val="000000"/>
        </w:rPr>
        <w:t>)</w:t>
      </w:r>
    </w:p>
    <w:p w14:paraId="5D46A3B5" w14:textId="142B2810" w:rsidR="008C69AA" w:rsidRDefault="008C69AA">
      <w:pPr>
        <w:pStyle w:val="NormalWeb"/>
        <w:numPr>
          <w:ilvl w:val="0"/>
          <w:numId w:val="2"/>
        </w:numPr>
        <w:spacing w:before="0" w:beforeAutospacing="0" w:after="0" w:afterAutospacing="0"/>
      </w:pPr>
      <w:r>
        <w:rPr>
          <w:rFonts w:ascii="Times" w:hAnsi="Times"/>
          <w:color w:val="000000"/>
        </w:rPr>
        <w:t xml:space="preserve">Deck of </w:t>
      </w:r>
      <w:r w:rsidR="00FC2EF8">
        <w:rPr>
          <w:rFonts w:ascii="Times" w:hAnsi="Times"/>
          <w:color w:val="000000"/>
        </w:rPr>
        <w:t>playing cards</w:t>
      </w:r>
    </w:p>
    <w:p w14:paraId="5D46A3B6" w14:textId="380AA1AD" w:rsidR="008C69AA" w:rsidRDefault="008C69AA">
      <w:pPr>
        <w:pStyle w:val="NormalWeb"/>
        <w:numPr>
          <w:ilvl w:val="0"/>
          <w:numId w:val="2"/>
        </w:numPr>
        <w:spacing w:before="0" w:beforeAutospacing="0" w:after="0" w:afterAutospacing="0"/>
      </w:pPr>
      <w:r>
        <w:rPr>
          <w:rFonts w:ascii="Times" w:hAnsi="Times"/>
          <w:color w:val="000000"/>
        </w:rPr>
        <w:t>Classroom objects</w:t>
      </w:r>
      <w:r w:rsidR="00FC2EF8">
        <w:rPr>
          <w:rFonts w:ascii="Times" w:hAnsi="Times"/>
          <w:color w:val="000000"/>
        </w:rPr>
        <w:t xml:space="preserve"> (e.g., sticky notes, </w:t>
      </w:r>
      <w:r>
        <w:rPr>
          <w:rFonts w:ascii="Times" w:hAnsi="Times"/>
          <w:color w:val="000000"/>
        </w:rPr>
        <w:t>markers, erasers</w:t>
      </w:r>
      <w:r w:rsidR="00FC2EF8">
        <w:rPr>
          <w:rFonts w:ascii="Times" w:hAnsi="Times"/>
          <w:color w:val="000000"/>
        </w:rPr>
        <w:t>)</w:t>
      </w:r>
    </w:p>
    <w:p w14:paraId="5D46A3B7" w14:textId="307D9821" w:rsidR="008C69AA" w:rsidRDefault="008C69AA">
      <w:pPr>
        <w:pStyle w:val="NormalWeb"/>
        <w:numPr>
          <w:ilvl w:val="0"/>
          <w:numId w:val="2"/>
        </w:numPr>
        <w:spacing w:before="0" w:beforeAutospacing="0" w:after="0" w:afterAutospacing="0"/>
      </w:pPr>
      <w:r>
        <w:rPr>
          <w:rFonts w:ascii="Times" w:hAnsi="Times"/>
          <w:color w:val="000000"/>
        </w:rPr>
        <w:t xml:space="preserve">120 </w:t>
      </w:r>
      <w:r w:rsidR="00FC2EF8">
        <w:rPr>
          <w:rFonts w:ascii="Times" w:hAnsi="Times"/>
          <w:color w:val="000000"/>
        </w:rPr>
        <w:t>number board</w:t>
      </w:r>
    </w:p>
    <w:p w14:paraId="5D46A3B8" w14:textId="47E775B5" w:rsidR="008C69AA" w:rsidRDefault="008C69AA">
      <w:pPr>
        <w:pStyle w:val="NormalWeb"/>
        <w:numPr>
          <w:ilvl w:val="0"/>
          <w:numId w:val="2"/>
        </w:numPr>
        <w:spacing w:before="0" w:beforeAutospacing="0" w:after="0" w:afterAutospacing="0"/>
      </w:pPr>
      <w:r>
        <w:rPr>
          <w:rFonts w:ascii="Times" w:hAnsi="Times"/>
          <w:color w:val="000000"/>
        </w:rPr>
        <w:t xml:space="preserve">Tactile </w:t>
      </w:r>
      <w:r w:rsidR="00FC2EF8">
        <w:rPr>
          <w:rFonts w:ascii="Times" w:hAnsi="Times"/>
          <w:color w:val="000000"/>
        </w:rPr>
        <w:t>number cards</w:t>
      </w:r>
    </w:p>
    <w:p w14:paraId="5D46A3B9" w14:textId="77777777" w:rsidR="008C69AA" w:rsidRDefault="008C69AA">
      <w:pPr>
        <w:pStyle w:val="NormalWeb"/>
        <w:numPr>
          <w:ilvl w:val="0"/>
          <w:numId w:val="2"/>
        </w:numPr>
        <w:spacing w:before="0" w:beforeAutospacing="0" w:after="0" w:afterAutospacing="0"/>
      </w:pPr>
      <w:r>
        <w:rPr>
          <w:rFonts w:ascii="Times" w:hAnsi="Times"/>
          <w:color w:val="000000"/>
        </w:rPr>
        <w:t>Index cards</w:t>
      </w:r>
    </w:p>
    <w:p w14:paraId="5D46A3BB" w14:textId="159B6D1C" w:rsidR="008C69AA" w:rsidRDefault="008C69AA" w:rsidP="006548F0">
      <w:pPr>
        <w:pStyle w:val="NormalWeb"/>
        <w:numPr>
          <w:ilvl w:val="0"/>
          <w:numId w:val="2"/>
        </w:numPr>
        <w:spacing w:before="0" w:beforeAutospacing="0" w:after="0" w:afterAutospacing="0"/>
      </w:pPr>
      <w:r>
        <w:rPr>
          <w:rFonts w:ascii="Times" w:hAnsi="Times"/>
          <w:color w:val="000000"/>
        </w:rPr>
        <w:t>Pencils</w:t>
      </w:r>
    </w:p>
    <w:p w14:paraId="5D46A3BC" w14:textId="06B5822C" w:rsidR="00354FC9" w:rsidRDefault="00E3045B" w:rsidP="006548F0">
      <w:pPr>
        <w:pStyle w:val="Heading2"/>
        <w:spacing w:before="240"/>
      </w:pPr>
      <w:r w:rsidRPr="003B4D66">
        <w:t>Vocab</w:t>
      </w:r>
      <w:r w:rsidR="00354FC9">
        <w:t>ulary</w:t>
      </w:r>
    </w:p>
    <w:p w14:paraId="6758813A" w14:textId="7C4F91E5" w:rsidR="00FC2EF8" w:rsidRPr="00F3435A" w:rsidRDefault="00FC2EF8" w:rsidP="00FC2EF8">
      <w:pPr>
        <w:ind w:left="360"/>
        <w:rPr>
          <w:i/>
        </w:rPr>
      </w:pPr>
      <w:proofErr w:type="gramStart"/>
      <w:r w:rsidRPr="006548F0">
        <w:rPr>
          <w:i/>
        </w:rPr>
        <w:t>compare</w:t>
      </w:r>
      <w:proofErr w:type="gramEnd"/>
      <w:r>
        <w:rPr>
          <w:i/>
        </w:rPr>
        <w:t xml:space="preserve">, </w:t>
      </w:r>
      <w:r w:rsidRPr="008246FA">
        <w:rPr>
          <w:i/>
        </w:rPr>
        <w:t>equal (same)</w:t>
      </w:r>
      <w:r>
        <w:rPr>
          <w:i/>
        </w:rPr>
        <w:t xml:space="preserve">, </w:t>
      </w:r>
      <w:r w:rsidRPr="00833F6B">
        <w:rPr>
          <w:i/>
        </w:rPr>
        <w:t>greater than (more)</w:t>
      </w:r>
      <w:r>
        <w:rPr>
          <w:i/>
        </w:rPr>
        <w:t>,</w:t>
      </w:r>
      <w:r w:rsidRPr="00FC2EF8">
        <w:rPr>
          <w:i/>
        </w:rPr>
        <w:t xml:space="preserve"> </w:t>
      </w:r>
      <w:r w:rsidRPr="00F3435A">
        <w:rPr>
          <w:i/>
        </w:rPr>
        <w:t>greatest</w:t>
      </w:r>
      <w:r>
        <w:rPr>
          <w:i/>
        </w:rPr>
        <w:t xml:space="preserve">, </w:t>
      </w:r>
      <w:r w:rsidRPr="00A32A37">
        <w:rPr>
          <w:i/>
        </w:rPr>
        <w:t>least</w:t>
      </w:r>
      <w:r>
        <w:rPr>
          <w:i/>
        </w:rPr>
        <w:t>, less than (fewer), sets</w:t>
      </w:r>
    </w:p>
    <w:p w14:paraId="5D46A3C3" w14:textId="77777777" w:rsidR="00867493" w:rsidRDefault="00720A4E" w:rsidP="006548F0">
      <w:pPr>
        <w:pStyle w:val="Heading2"/>
        <w:spacing w:before="240"/>
      </w:pPr>
      <w:r>
        <w:t>Co-T</w:t>
      </w:r>
      <w:r w:rsidR="00B22882">
        <w:t>eacher Actions</w:t>
      </w:r>
    </w:p>
    <w:tbl>
      <w:tblPr>
        <w:tblStyle w:val="TableGrid"/>
        <w:tblW w:w="12865" w:type="dxa"/>
        <w:tblLayout w:type="fixed"/>
        <w:tblLook w:val="04A0" w:firstRow="1" w:lastRow="0" w:firstColumn="1" w:lastColumn="0" w:noHBand="0" w:noVBand="1"/>
        <w:tblCaption w:val="Co-teaching Lesson Plan Table"/>
        <w:tblDescription w:val="This table describes the roles of the General Educator and the Special Educator in the activities of this lesson plan."/>
      </w:tblPr>
      <w:tblGrid>
        <w:gridCol w:w="2088"/>
        <w:gridCol w:w="2340"/>
        <w:gridCol w:w="4320"/>
        <w:gridCol w:w="4117"/>
      </w:tblGrid>
      <w:tr w:rsidR="00FF546C" w14:paraId="5D46A3C8" w14:textId="77777777" w:rsidTr="006548F0">
        <w:trPr>
          <w:tblHeader/>
        </w:trPr>
        <w:tc>
          <w:tcPr>
            <w:tcW w:w="2088" w:type="dxa"/>
          </w:tcPr>
          <w:p w14:paraId="5D46A3C4" w14:textId="77777777" w:rsidR="00FF546C" w:rsidRPr="00FF546C" w:rsidRDefault="00FF546C" w:rsidP="00FF546C">
            <w:pPr>
              <w:rPr>
                <w:b/>
              </w:rPr>
            </w:pPr>
            <w:r w:rsidRPr="00FF546C">
              <w:rPr>
                <w:b/>
              </w:rPr>
              <w:t>Lesson Component</w:t>
            </w:r>
          </w:p>
        </w:tc>
        <w:tc>
          <w:tcPr>
            <w:tcW w:w="2340" w:type="dxa"/>
          </w:tcPr>
          <w:p w14:paraId="5D46A3C5" w14:textId="77777777" w:rsidR="00FF546C" w:rsidRPr="00FF546C" w:rsidRDefault="00FF546C" w:rsidP="00FF546C">
            <w:pPr>
              <w:rPr>
                <w:b/>
              </w:rPr>
            </w:pPr>
            <w:r w:rsidRPr="00FF546C">
              <w:rPr>
                <w:b/>
              </w:rPr>
              <w:t>Co-Teaching Approach(es)</w:t>
            </w:r>
          </w:p>
        </w:tc>
        <w:tc>
          <w:tcPr>
            <w:tcW w:w="4320" w:type="dxa"/>
          </w:tcPr>
          <w:p w14:paraId="5D46A3C6" w14:textId="77777777" w:rsidR="00FF546C" w:rsidRPr="00FF546C" w:rsidRDefault="001451D0" w:rsidP="00FF546C">
            <w:pPr>
              <w:rPr>
                <w:b/>
              </w:rPr>
            </w:pPr>
            <w:r>
              <w:rPr>
                <w:b/>
              </w:rPr>
              <w:t>General Educator</w:t>
            </w:r>
            <w:r w:rsidR="008F07A5">
              <w:rPr>
                <w:b/>
              </w:rPr>
              <w:t xml:space="preserve"> (GE)</w:t>
            </w:r>
          </w:p>
        </w:tc>
        <w:tc>
          <w:tcPr>
            <w:tcW w:w="4117" w:type="dxa"/>
          </w:tcPr>
          <w:p w14:paraId="5D46A3C7" w14:textId="77777777" w:rsidR="00FF546C" w:rsidRPr="00FF546C" w:rsidRDefault="001451D0" w:rsidP="00FF546C">
            <w:pPr>
              <w:rPr>
                <w:b/>
              </w:rPr>
            </w:pPr>
            <w:r>
              <w:rPr>
                <w:b/>
              </w:rPr>
              <w:t>Special Educator</w:t>
            </w:r>
            <w:r w:rsidR="008F07A5">
              <w:rPr>
                <w:b/>
              </w:rPr>
              <w:t xml:space="preserve"> (SE)</w:t>
            </w:r>
          </w:p>
        </w:tc>
      </w:tr>
      <w:tr w:rsidR="002645C4" w14:paraId="5D46A3CD" w14:textId="77777777" w:rsidTr="006548F0">
        <w:tc>
          <w:tcPr>
            <w:tcW w:w="2088" w:type="dxa"/>
          </w:tcPr>
          <w:p w14:paraId="5D46A3C9" w14:textId="77777777" w:rsidR="002645C4" w:rsidRPr="009065CE" w:rsidRDefault="002645C4" w:rsidP="00FF546C">
            <w:pPr>
              <w:rPr>
                <w:b/>
              </w:rPr>
            </w:pPr>
            <w:r w:rsidRPr="009065CE">
              <w:rPr>
                <w:b/>
              </w:rPr>
              <w:t>Anticipatory Set</w:t>
            </w:r>
          </w:p>
        </w:tc>
        <w:tc>
          <w:tcPr>
            <w:tcW w:w="2340" w:type="dxa"/>
          </w:tcPr>
          <w:p w14:paraId="5D46A3CA" w14:textId="77777777" w:rsidR="002645C4" w:rsidRPr="009065CE" w:rsidRDefault="008C69AA" w:rsidP="007C26A5">
            <w:r>
              <w:t>Team Teaching</w:t>
            </w:r>
            <w:r w:rsidR="002645C4">
              <w:t xml:space="preserve"> </w:t>
            </w:r>
          </w:p>
        </w:tc>
        <w:tc>
          <w:tcPr>
            <w:tcW w:w="4320" w:type="dxa"/>
          </w:tcPr>
          <w:p w14:paraId="5D46A3CB" w14:textId="63CFAB65" w:rsidR="002645C4" w:rsidRPr="0030291A" w:rsidRDefault="008C69AA" w:rsidP="006548F0">
            <w:pPr>
              <w:spacing w:after="120"/>
            </w:pPr>
            <w:r>
              <w:rPr>
                <w:rFonts w:ascii="Times" w:hAnsi="Times"/>
                <w:color w:val="000000"/>
              </w:rPr>
              <w:t xml:space="preserve">Using the VDOE </w:t>
            </w:r>
            <w:r w:rsidR="00AD7886">
              <w:rPr>
                <w:rFonts w:ascii="Times" w:hAnsi="Times"/>
                <w:color w:val="000000"/>
              </w:rPr>
              <w:t>Mathematics Vocabulary Word Wall Cards</w:t>
            </w:r>
            <w:r>
              <w:rPr>
                <w:rFonts w:ascii="Times" w:hAnsi="Times"/>
                <w:color w:val="000000"/>
              </w:rPr>
              <w:t xml:space="preserve"> as visual cues, ask students to describe the phrases “greater than,</w:t>
            </w:r>
            <w:r w:rsidR="00AD7886">
              <w:rPr>
                <w:rFonts w:ascii="Times" w:hAnsi="Times"/>
                <w:color w:val="000000"/>
              </w:rPr>
              <w:t>”</w:t>
            </w:r>
            <w:r>
              <w:rPr>
                <w:rFonts w:ascii="Times" w:hAnsi="Times"/>
                <w:color w:val="000000"/>
              </w:rPr>
              <w:t xml:space="preserve"> </w:t>
            </w:r>
            <w:r w:rsidR="00AD7886">
              <w:rPr>
                <w:rFonts w:ascii="Times" w:hAnsi="Times"/>
                <w:color w:val="000000"/>
              </w:rPr>
              <w:t>“</w:t>
            </w:r>
            <w:r>
              <w:rPr>
                <w:rFonts w:ascii="Times" w:hAnsi="Times"/>
                <w:color w:val="000000"/>
              </w:rPr>
              <w:t>less than,</w:t>
            </w:r>
            <w:r w:rsidR="00AD7886">
              <w:rPr>
                <w:rFonts w:ascii="Times" w:hAnsi="Times"/>
                <w:color w:val="000000"/>
              </w:rPr>
              <w:t>”</w:t>
            </w:r>
            <w:r>
              <w:rPr>
                <w:rFonts w:ascii="Times" w:hAnsi="Times"/>
                <w:color w:val="000000"/>
              </w:rPr>
              <w:t xml:space="preserve"> </w:t>
            </w:r>
            <w:r w:rsidR="00AD7886">
              <w:rPr>
                <w:rFonts w:ascii="Times" w:hAnsi="Times"/>
                <w:color w:val="000000"/>
              </w:rPr>
              <w:t>and “</w:t>
            </w:r>
            <w:r>
              <w:rPr>
                <w:rFonts w:ascii="Times" w:hAnsi="Times"/>
                <w:color w:val="000000"/>
              </w:rPr>
              <w:t>equal” and provide examples</w:t>
            </w:r>
            <w:r w:rsidR="00AD7886">
              <w:rPr>
                <w:rFonts w:ascii="Times" w:hAnsi="Times"/>
                <w:color w:val="000000"/>
              </w:rPr>
              <w:t xml:space="preserve"> of each.</w:t>
            </w:r>
          </w:p>
        </w:tc>
        <w:tc>
          <w:tcPr>
            <w:tcW w:w="4117" w:type="dxa"/>
          </w:tcPr>
          <w:p w14:paraId="5D46A3CC" w14:textId="07523AE7" w:rsidR="002645C4" w:rsidRPr="005514B5" w:rsidRDefault="005514B5" w:rsidP="006548F0">
            <w:pPr>
              <w:spacing w:after="120"/>
            </w:pPr>
            <w:r w:rsidRPr="005514B5">
              <w:t>Same as GE</w:t>
            </w:r>
          </w:p>
        </w:tc>
      </w:tr>
      <w:tr w:rsidR="002645C4" w14:paraId="5D46A3DE" w14:textId="77777777" w:rsidTr="006548F0">
        <w:tc>
          <w:tcPr>
            <w:tcW w:w="2088" w:type="dxa"/>
          </w:tcPr>
          <w:p w14:paraId="5D46A3CE" w14:textId="77777777" w:rsidR="002645C4" w:rsidRPr="009065CE" w:rsidRDefault="002645C4" w:rsidP="00FF546C">
            <w:pPr>
              <w:rPr>
                <w:b/>
              </w:rPr>
            </w:pPr>
            <w:r w:rsidRPr="009065CE">
              <w:rPr>
                <w:b/>
              </w:rPr>
              <w:t>Lesson Activities/</w:t>
            </w:r>
            <w:r>
              <w:rPr>
                <w:b/>
              </w:rPr>
              <w:t xml:space="preserve"> </w:t>
            </w:r>
            <w:r w:rsidRPr="009065CE">
              <w:rPr>
                <w:b/>
              </w:rPr>
              <w:t>Procedures</w:t>
            </w:r>
          </w:p>
        </w:tc>
        <w:tc>
          <w:tcPr>
            <w:tcW w:w="2340" w:type="dxa"/>
          </w:tcPr>
          <w:p w14:paraId="5D46A3CF" w14:textId="77777777" w:rsidR="002645C4" w:rsidRPr="00885417" w:rsidRDefault="008C69AA" w:rsidP="00500BAA">
            <w:r>
              <w:t>Team Teaching</w:t>
            </w:r>
          </w:p>
        </w:tc>
        <w:tc>
          <w:tcPr>
            <w:tcW w:w="4320" w:type="dxa"/>
          </w:tcPr>
          <w:p w14:paraId="5D46A3D0" w14:textId="50E6A60E" w:rsidR="008C69AA" w:rsidRDefault="00B0468B" w:rsidP="006548F0">
            <w:pPr>
              <w:widowControl/>
              <w:spacing w:after="120"/>
              <w:ind w:left="222" w:hanging="222"/>
              <w:rPr>
                <w:rFonts w:ascii="Times" w:eastAsia="Times New Roman" w:hAnsi="Times"/>
                <w:color w:val="000000"/>
                <w:kern w:val="0"/>
                <w:lang w:eastAsia="en-US"/>
              </w:rPr>
            </w:pPr>
            <w:r>
              <w:rPr>
                <w:rFonts w:ascii="Times" w:eastAsia="Times New Roman" w:hAnsi="Times"/>
                <w:color w:val="000000"/>
                <w:kern w:val="0"/>
                <w:lang w:eastAsia="en-US"/>
              </w:rPr>
              <w:t>1.</w:t>
            </w:r>
            <w:r w:rsidR="008C69AA" w:rsidRPr="008C69AA">
              <w:rPr>
                <w:rFonts w:ascii="Times" w:eastAsia="Times New Roman" w:hAnsi="Times"/>
                <w:color w:val="000000"/>
                <w:kern w:val="0"/>
                <w:lang w:eastAsia="en-US"/>
              </w:rPr>
              <w:t xml:space="preserve"> </w:t>
            </w:r>
            <w:r w:rsidR="00C805FA">
              <w:rPr>
                <w:rFonts w:ascii="Times" w:eastAsia="Times New Roman" w:hAnsi="Times"/>
                <w:color w:val="000000"/>
                <w:kern w:val="0"/>
                <w:lang w:eastAsia="en-US"/>
              </w:rPr>
              <w:t>(</w:t>
            </w:r>
            <w:r w:rsidR="00AD7886">
              <w:rPr>
                <w:rFonts w:ascii="Times" w:eastAsia="Times New Roman" w:hAnsi="Times"/>
                <w:color w:val="000000"/>
                <w:kern w:val="0"/>
                <w:lang w:eastAsia="en-US"/>
              </w:rPr>
              <w:t xml:space="preserve">SOL </w:t>
            </w:r>
            <w:r w:rsidR="00C805FA">
              <w:rPr>
                <w:rFonts w:ascii="Times" w:eastAsia="Times New Roman" w:hAnsi="Times"/>
                <w:color w:val="000000"/>
                <w:kern w:val="0"/>
                <w:lang w:eastAsia="en-US"/>
              </w:rPr>
              <w:t xml:space="preserve">1.2b) </w:t>
            </w:r>
            <w:r w:rsidR="008C69AA" w:rsidRPr="008C69AA">
              <w:rPr>
                <w:rFonts w:ascii="Times" w:eastAsia="Times New Roman" w:hAnsi="Times"/>
                <w:color w:val="000000"/>
                <w:kern w:val="0"/>
                <w:lang w:eastAsia="en-US"/>
              </w:rPr>
              <w:t>Using concrete objects</w:t>
            </w:r>
            <w:r w:rsidR="005514B5">
              <w:rPr>
                <w:rFonts w:ascii="Times" w:eastAsia="Times New Roman" w:hAnsi="Times"/>
                <w:color w:val="000000"/>
                <w:kern w:val="0"/>
                <w:lang w:eastAsia="en-US"/>
              </w:rPr>
              <w:t xml:space="preserve"> </w:t>
            </w:r>
            <w:r w:rsidR="008C69AA" w:rsidRPr="008C69AA">
              <w:rPr>
                <w:rFonts w:ascii="Times" w:eastAsia="Times New Roman" w:hAnsi="Times"/>
                <w:color w:val="000000"/>
                <w:kern w:val="0"/>
                <w:lang w:eastAsia="en-US"/>
              </w:rPr>
              <w:t>(</w:t>
            </w:r>
            <w:r w:rsidR="00AD7886">
              <w:rPr>
                <w:rFonts w:ascii="Times" w:eastAsia="Times New Roman" w:hAnsi="Times"/>
                <w:color w:val="000000"/>
                <w:kern w:val="0"/>
                <w:lang w:eastAsia="en-US"/>
              </w:rPr>
              <w:t>e.g.,</w:t>
            </w:r>
            <w:r w:rsidR="008C69AA" w:rsidRPr="008C69AA">
              <w:rPr>
                <w:rFonts w:ascii="Times" w:eastAsia="Times New Roman" w:hAnsi="Times"/>
                <w:color w:val="000000"/>
                <w:kern w:val="0"/>
                <w:lang w:eastAsia="en-US"/>
              </w:rPr>
              <w:t xml:space="preserve"> cubes, tiles) demonstrate </w:t>
            </w:r>
            <w:r w:rsidR="00AD7886">
              <w:rPr>
                <w:rFonts w:ascii="Times" w:eastAsia="Times New Roman" w:hAnsi="Times"/>
                <w:color w:val="000000"/>
                <w:kern w:val="0"/>
                <w:lang w:eastAsia="en-US"/>
              </w:rPr>
              <w:t xml:space="preserve">two </w:t>
            </w:r>
            <w:r w:rsidR="008C69AA" w:rsidRPr="008C69AA">
              <w:rPr>
                <w:rFonts w:ascii="Times" w:eastAsia="Times New Roman" w:hAnsi="Times"/>
                <w:color w:val="000000"/>
                <w:kern w:val="0"/>
                <w:lang w:eastAsia="en-US"/>
              </w:rPr>
              <w:t>sets that show greater than, less than</w:t>
            </w:r>
            <w:r w:rsidR="00AD7886">
              <w:rPr>
                <w:rFonts w:ascii="Times" w:eastAsia="Times New Roman" w:hAnsi="Times"/>
                <w:color w:val="000000"/>
                <w:kern w:val="0"/>
                <w:lang w:eastAsia="en-US"/>
              </w:rPr>
              <w:t>,</w:t>
            </w:r>
            <w:r w:rsidR="008C69AA" w:rsidRPr="008C69AA">
              <w:rPr>
                <w:rFonts w:ascii="Times" w:eastAsia="Times New Roman" w:hAnsi="Times"/>
                <w:color w:val="000000"/>
                <w:kern w:val="0"/>
                <w:lang w:eastAsia="en-US"/>
              </w:rPr>
              <w:t xml:space="preserve"> or equal to. This can be done </w:t>
            </w:r>
            <w:r w:rsidR="00AD7886">
              <w:rPr>
                <w:rFonts w:ascii="Times" w:eastAsia="Times New Roman" w:hAnsi="Times"/>
                <w:color w:val="000000"/>
                <w:kern w:val="0"/>
                <w:lang w:eastAsia="en-US"/>
              </w:rPr>
              <w:t xml:space="preserve">as a </w:t>
            </w:r>
            <w:r w:rsidR="008C69AA" w:rsidRPr="008C69AA">
              <w:rPr>
                <w:rFonts w:ascii="Times" w:eastAsia="Times New Roman" w:hAnsi="Times"/>
                <w:color w:val="000000"/>
                <w:kern w:val="0"/>
                <w:lang w:eastAsia="en-US"/>
              </w:rPr>
              <w:t xml:space="preserve">whole group and </w:t>
            </w:r>
            <w:r w:rsidR="00AD7886">
              <w:rPr>
                <w:rFonts w:ascii="Times" w:eastAsia="Times New Roman" w:hAnsi="Times"/>
                <w:color w:val="000000"/>
                <w:kern w:val="0"/>
                <w:lang w:eastAsia="en-US"/>
              </w:rPr>
              <w:t xml:space="preserve">displayed </w:t>
            </w:r>
            <w:r>
              <w:rPr>
                <w:rFonts w:ascii="Times" w:eastAsia="Times New Roman" w:hAnsi="Times"/>
                <w:color w:val="000000"/>
                <w:kern w:val="0"/>
                <w:lang w:eastAsia="en-US"/>
              </w:rPr>
              <w:t xml:space="preserve">using random placement of the objects, or lay the sets on a light background in front of students seated </w:t>
            </w:r>
            <w:r>
              <w:rPr>
                <w:rFonts w:ascii="Times" w:eastAsia="Times New Roman" w:hAnsi="Times"/>
                <w:color w:val="000000"/>
                <w:kern w:val="0"/>
                <w:lang w:eastAsia="en-US"/>
              </w:rPr>
              <w:lastRenderedPageBreak/>
              <w:t>around the demonstration area.</w:t>
            </w:r>
            <w:r w:rsidR="00C805FA">
              <w:rPr>
                <w:rFonts w:ascii="Times" w:eastAsia="Times New Roman" w:hAnsi="Times"/>
                <w:color w:val="000000"/>
                <w:kern w:val="0"/>
                <w:lang w:eastAsia="en-US"/>
              </w:rPr>
              <w:t xml:space="preserve"> </w:t>
            </w:r>
          </w:p>
          <w:p w14:paraId="5D46A3D1" w14:textId="511C1FA7" w:rsidR="008C69AA" w:rsidRPr="008C69AA" w:rsidRDefault="00C805FA" w:rsidP="006548F0">
            <w:pPr>
              <w:widowControl/>
              <w:spacing w:after="120"/>
              <w:ind w:left="222"/>
              <w:rPr>
                <w:rFonts w:eastAsia="Times New Roman"/>
                <w:kern w:val="0"/>
                <w:lang w:eastAsia="en-US"/>
              </w:rPr>
            </w:pPr>
            <w:r>
              <w:rPr>
                <w:rFonts w:eastAsia="Times New Roman"/>
                <w:kern w:val="0"/>
                <w:lang w:eastAsia="en-US"/>
              </w:rPr>
              <w:t>Repeat this activity with several examples to check for understanding. Be sure to ask which set is greater or more, and which set is less or fewer. Mix in some equal sets as well.</w:t>
            </w:r>
          </w:p>
          <w:p w14:paraId="5D46A3D5" w14:textId="1663CD6B" w:rsidR="002645C4" w:rsidRPr="009065CE" w:rsidRDefault="00C805FA" w:rsidP="006548F0">
            <w:pPr>
              <w:pStyle w:val="NormalWeb"/>
              <w:spacing w:before="0" w:beforeAutospacing="0" w:after="120" w:afterAutospacing="0"/>
              <w:ind w:left="222" w:hanging="222"/>
            </w:pPr>
            <w:r>
              <w:rPr>
                <w:rFonts w:ascii="Times" w:hAnsi="Times"/>
                <w:color w:val="000000"/>
              </w:rPr>
              <w:t>3. (</w:t>
            </w:r>
            <w:r w:rsidR="00AD7886">
              <w:rPr>
                <w:rFonts w:ascii="Times" w:hAnsi="Times"/>
                <w:color w:val="000000"/>
              </w:rPr>
              <w:t xml:space="preserve">SOL </w:t>
            </w:r>
            <w:r w:rsidR="008C69AA" w:rsidRPr="008C69AA">
              <w:rPr>
                <w:rFonts w:ascii="Times" w:hAnsi="Times"/>
                <w:color w:val="000000"/>
              </w:rPr>
              <w:t>1.2c</w:t>
            </w:r>
            <w:r>
              <w:rPr>
                <w:rFonts w:ascii="Times" w:hAnsi="Times"/>
                <w:color w:val="000000"/>
              </w:rPr>
              <w:t>)</w:t>
            </w:r>
            <w:r w:rsidR="008C69AA" w:rsidRPr="008C69AA">
              <w:rPr>
                <w:rFonts w:ascii="Times" w:hAnsi="Times"/>
                <w:color w:val="000000"/>
              </w:rPr>
              <w:t xml:space="preserve"> Ask students:</w:t>
            </w:r>
            <w:r w:rsidR="008C69AA">
              <w:rPr>
                <w:rFonts w:ascii="Times" w:hAnsi="Times"/>
                <w:color w:val="000000"/>
              </w:rPr>
              <w:t xml:space="preserve"> </w:t>
            </w:r>
            <w:r w:rsidR="008C69AA" w:rsidRPr="00B0468B">
              <w:rPr>
                <w:rFonts w:ascii="Times" w:hAnsi="Times"/>
                <w:i/>
                <w:color w:val="000000"/>
              </w:rPr>
              <w:t>Which set shows least to greatest? Explain.</w:t>
            </w:r>
            <w:r w:rsidR="00AD7886">
              <w:rPr>
                <w:rFonts w:ascii="Times" w:hAnsi="Times"/>
                <w:i/>
                <w:color w:val="000000"/>
              </w:rPr>
              <w:t xml:space="preserve"> </w:t>
            </w:r>
            <w:r w:rsidR="008C69AA" w:rsidRPr="00B0468B">
              <w:rPr>
                <w:rFonts w:ascii="Times" w:hAnsi="Times"/>
                <w:i/>
                <w:color w:val="000000"/>
              </w:rPr>
              <w:t>Which set shows greatest to least? Explain.</w:t>
            </w:r>
          </w:p>
        </w:tc>
        <w:tc>
          <w:tcPr>
            <w:tcW w:w="4117" w:type="dxa"/>
          </w:tcPr>
          <w:p w14:paraId="1740ABB8" w14:textId="19B699BF" w:rsidR="00C805FA" w:rsidRDefault="00B0468B" w:rsidP="006548F0">
            <w:pPr>
              <w:widowControl/>
              <w:spacing w:after="120"/>
              <w:ind w:left="312" w:hanging="312"/>
              <w:rPr>
                <w:rFonts w:ascii="Times" w:eastAsia="Times New Roman" w:hAnsi="Times"/>
                <w:color w:val="000000"/>
                <w:kern w:val="0"/>
                <w:lang w:eastAsia="en-US"/>
              </w:rPr>
            </w:pPr>
            <w:r>
              <w:rPr>
                <w:rFonts w:ascii="Times" w:eastAsia="Times New Roman" w:hAnsi="Times"/>
                <w:color w:val="000000"/>
                <w:kern w:val="0"/>
                <w:lang w:eastAsia="en-US"/>
              </w:rPr>
              <w:lastRenderedPageBreak/>
              <w:t>2.</w:t>
            </w:r>
            <w:r w:rsidR="00C805FA">
              <w:rPr>
                <w:rFonts w:ascii="Times" w:eastAsia="Times New Roman" w:hAnsi="Times"/>
                <w:color w:val="000000"/>
                <w:kern w:val="0"/>
                <w:lang w:eastAsia="en-US"/>
              </w:rPr>
              <w:t xml:space="preserve"> (</w:t>
            </w:r>
            <w:r w:rsidR="00AD7886">
              <w:rPr>
                <w:rFonts w:ascii="Times" w:eastAsia="Times New Roman" w:hAnsi="Times"/>
                <w:color w:val="000000"/>
                <w:kern w:val="0"/>
                <w:lang w:eastAsia="en-US"/>
              </w:rPr>
              <w:t xml:space="preserve">SOL </w:t>
            </w:r>
            <w:r w:rsidR="00C805FA">
              <w:rPr>
                <w:rFonts w:ascii="Times" w:eastAsia="Times New Roman" w:hAnsi="Times"/>
                <w:color w:val="000000"/>
                <w:kern w:val="0"/>
                <w:lang w:eastAsia="en-US"/>
              </w:rPr>
              <w:t>1.2c) Introduce 3 sets of objects to be compared.</w:t>
            </w:r>
            <w:r w:rsidR="008C69AA" w:rsidRPr="008C69AA">
              <w:rPr>
                <w:rFonts w:ascii="Times" w:eastAsia="Times New Roman" w:hAnsi="Times"/>
                <w:color w:val="000000"/>
                <w:kern w:val="0"/>
                <w:lang w:eastAsia="en-US"/>
              </w:rPr>
              <w:t xml:space="preserve"> </w:t>
            </w:r>
          </w:p>
          <w:p w14:paraId="5D46A3D6" w14:textId="0DCC49CE" w:rsidR="008C69AA" w:rsidRPr="008C69AA" w:rsidRDefault="008C69AA" w:rsidP="006548F0">
            <w:pPr>
              <w:widowControl/>
              <w:spacing w:after="120"/>
              <w:ind w:left="312"/>
              <w:rPr>
                <w:rFonts w:eastAsia="Times New Roman"/>
                <w:kern w:val="0"/>
                <w:lang w:eastAsia="en-US"/>
              </w:rPr>
            </w:pPr>
            <w:r w:rsidRPr="008C69AA">
              <w:rPr>
                <w:rFonts w:ascii="Times" w:eastAsia="Times New Roman" w:hAnsi="Times"/>
                <w:color w:val="000000"/>
                <w:kern w:val="0"/>
                <w:lang w:eastAsia="en-US"/>
              </w:rPr>
              <w:t>Ask students:</w:t>
            </w:r>
          </w:p>
          <w:p w14:paraId="5D46A3D7" w14:textId="77777777" w:rsidR="008C69AA" w:rsidRPr="008C69AA" w:rsidRDefault="008C69AA" w:rsidP="006548F0">
            <w:pPr>
              <w:widowControl/>
              <w:spacing w:after="120"/>
              <w:ind w:left="312"/>
              <w:rPr>
                <w:rFonts w:eastAsia="Times New Roman"/>
                <w:kern w:val="0"/>
                <w:lang w:eastAsia="en-US"/>
              </w:rPr>
            </w:pPr>
            <w:r w:rsidRPr="008C69AA">
              <w:rPr>
                <w:rFonts w:ascii="Times" w:eastAsia="Times New Roman" w:hAnsi="Times"/>
                <w:i/>
                <w:iCs/>
                <w:color w:val="000000"/>
                <w:kern w:val="0"/>
                <w:lang w:eastAsia="en-US"/>
              </w:rPr>
              <w:t>Which set has the greatest amount?</w:t>
            </w:r>
          </w:p>
          <w:p w14:paraId="5D46A3D8" w14:textId="77777777" w:rsidR="008C69AA" w:rsidRPr="008C69AA" w:rsidRDefault="008C69AA" w:rsidP="006548F0">
            <w:pPr>
              <w:widowControl/>
              <w:spacing w:after="120"/>
              <w:ind w:left="312"/>
              <w:rPr>
                <w:rFonts w:eastAsia="Times New Roman"/>
                <w:kern w:val="0"/>
                <w:lang w:eastAsia="en-US"/>
              </w:rPr>
            </w:pPr>
            <w:r w:rsidRPr="008C69AA">
              <w:rPr>
                <w:rFonts w:ascii="Times" w:eastAsia="Times New Roman" w:hAnsi="Times"/>
                <w:i/>
                <w:iCs/>
                <w:color w:val="000000"/>
                <w:kern w:val="0"/>
                <w:lang w:eastAsia="en-US"/>
              </w:rPr>
              <w:t>Which set has the least amount?</w:t>
            </w:r>
          </w:p>
          <w:p w14:paraId="5D46A3D9" w14:textId="77777777" w:rsidR="008C69AA" w:rsidRPr="008C69AA" w:rsidRDefault="008C69AA" w:rsidP="006548F0">
            <w:pPr>
              <w:widowControl/>
              <w:spacing w:after="120"/>
              <w:ind w:left="312"/>
              <w:rPr>
                <w:rFonts w:eastAsia="Times New Roman"/>
                <w:kern w:val="0"/>
                <w:lang w:eastAsia="en-US"/>
              </w:rPr>
            </w:pPr>
            <w:r w:rsidRPr="008C69AA">
              <w:rPr>
                <w:rFonts w:ascii="Times" w:eastAsia="Times New Roman" w:hAnsi="Times"/>
                <w:i/>
                <w:iCs/>
                <w:color w:val="000000"/>
                <w:kern w:val="0"/>
                <w:lang w:eastAsia="en-US"/>
              </w:rPr>
              <w:lastRenderedPageBreak/>
              <w:t>Are there any sets that are equal?</w:t>
            </w:r>
          </w:p>
          <w:p w14:paraId="5D46A3DD" w14:textId="0BC1EBDE" w:rsidR="002645C4" w:rsidRPr="009065CE" w:rsidRDefault="008C69AA" w:rsidP="006548F0">
            <w:pPr>
              <w:pStyle w:val="NormalWeb"/>
              <w:spacing w:before="0" w:beforeAutospacing="0" w:after="120" w:afterAutospacing="0"/>
              <w:ind w:left="312"/>
            </w:pPr>
            <w:r w:rsidRPr="008C69AA">
              <w:rPr>
                <w:rFonts w:ascii="Times" w:hAnsi="Times"/>
                <w:color w:val="000000"/>
              </w:rPr>
              <w:t xml:space="preserve">Using </w:t>
            </w:r>
            <w:r w:rsidR="00AD7886">
              <w:rPr>
                <w:rFonts w:ascii="Times" w:hAnsi="Times"/>
                <w:color w:val="000000"/>
              </w:rPr>
              <w:t>a demonstration tool</w:t>
            </w:r>
            <w:r w:rsidRPr="008C69AA">
              <w:rPr>
                <w:rFonts w:ascii="Times" w:hAnsi="Times"/>
                <w:color w:val="000000"/>
              </w:rPr>
              <w:t>, lead students through a discussion of how to order numbers.</w:t>
            </w:r>
            <w:r>
              <w:rPr>
                <w:rFonts w:ascii="Times" w:hAnsi="Times"/>
                <w:color w:val="000000"/>
              </w:rPr>
              <w:t xml:space="preserve"> Demonstrate how to order </w:t>
            </w:r>
            <w:r w:rsidR="00AD7886">
              <w:rPr>
                <w:rFonts w:ascii="Times" w:hAnsi="Times"/>
                <w:color w:val="000000"/>
              </w:rPr>
              <w:t xml:space="preserve">three </w:t>
            </w:r>
            <w:r>
              <w:rPr>
                <w:rFonts w:ascii="Times" w:hAnsi="Times"/>
                <w:color w:val="000000"/>
              </w:rPr>
              <w:t>sets of concrete objects (</w:t>
            </w:r>
            <w:r w:rsidR="00AD7886">
              <w:rPr>
                <w:rFonts w:ascii="Times" w:hAnsi="Times"/>
                <w:color w:val="000000"/>
              </w:rPr>
              <w:t>e.g</w:t>
            </w:r>
            <w:r>
              <w:rPr>
                <w:rFonts w:ascii="Times" w:hAnsi="Times"/>
                <w:color w:val="000000"/>
              </w:rPr>
              <w:t>.</w:t>
            </w:r>
            <w:r w:rsidR="00AD7886">
              <w:rPr>
                <w:rFonts w:ascii="Times" w:hAnsi="Times"/>
                <w:color w:val="000000"/>
              </w:rPr>
              <w:t>,</w:t>
            </w:r>
            <w:r>
              <w:rPr>
                <w:rFonts w:ascii="Times" w:hAnsi="Times"/>
                <w:color w:val="000000"/>
              </w:rPr>
              <w:t xml:space="preserve"> cubes, tiles) from least to greatest and greatest to least. Next, place new sets of objects in an array. </w:t>
            </w:r>
            <w:r w:rsidR="00AD7886">
              <w:rPr>
                <w:rFonts w:ascii="Times" w:hAnsi="Times"/>
                <w:color w:val="000000"/>
              </w:rPr>
              <w:t xml:space="preserve">The </w:t>
            </w:r>
            <w:r w:rsidR="00C805FA">
              <w:rPr>
                <w:rFonts w:ascii="Times" w:hAnsi="Times"/>
                <w:color w:val="000000"/>
              </w:rPr>
              <w:t>GE</w:t>
            </w:r>
            <w:r w:rsidR="00AD7886">
              <w:rPr>
                <w:rFonts w:ascii="Times" w:hAnsi="Times"/>
                <w:color w:val="000000"/>
              </w:rPr>
              <w:t xml:space="preserve"> </w:t>
            </w:r>
            <w:r>
              <w:rPr>
                <w:rFonts w:ascii="Times" w:hAnsi="Times"/>
                <w:color w:val="000000"/>
              </w:rPr>
              <w:t>will ask students to determine which array shows sets ordered from least to greatest and greatest to least, and explain their reasoning.</w:t>
            </w:r>
          </w:p>
        </w:tc>
      </w:tr>
      <w:tr w:rsidR="00FF546C" w14:paraId="5D46A3EA" w14:textId="77777777" w:rsidTr="006548F0">
        <w:tc>
          <w:tcPr>
            <w:tcW w:w="2088" w:type="dxa"/>
          </w:tcPr>
          <w:p w14:paraId="5D46A3DF" w14:textId="01E9C6E9" w:rsidR="00FF546C" w:rsidRPr="009065CE" w:rsidRDefault="00FF546C" w:rsidP="00FF546C">
            <w:pPr>
              <w:rPr>
                <w:b/>
              </w:rPr>
            </w:pPr>
            <w:r w:rsidRPr="009065CE">
              <w:rPr>
                <w:b/>
              </w:rPr>
              <w:lastRenderedPageBreak/>
              <w:t>Guided/</w:t>
            </w:r>
            <w:r w:rsidR="00AD7886">
              <w:rPr>
                <w:b/>
              </w:rPr>
              <w:br/>
            </w:r>
            <w:r w:rsidRPr="009065CE">
              <w:rPr>
                <w:b/>
              </w:rPr>
              <w:t>Independent Practice</w:t>
            </w:r>
          </w:p>
        </w:tc>
        <w:tc>
          <w:tcPr>
            <w:tcW w:w="2340" w:type="dxa"/>
          </w:tcPr>
          <w:p w14:paraId="5D46A3E0" w14:textId="77777777" w:rsidR="00FF546C" w:rsidRPr="00885417" w:rsidRDefault="008222A8" w:rsidP="009065CE">
            <w:r>
              <w:t>Station Teaching</w:t>
            </w:r>
          </w:p>
        </w:tc>
        <w:tc>
          <w:tcPr>
            <w:tcW w:w="4320" w:type="dxa"/>
          </w:tcPr>
          <w:p w14:paraId="1B1A6203" w14:textId="0860B7C9" w:rsidR="00E145C2" w:rsidRPr="006548F0" w:rsidRDefault="008222A8" w:rsidP="006548F0">
            <w:pPr>
              <w:widowControl/>
              <w:spacing w:after="120"/>
              <w:rPr>
                <w:rFonts w:ascii="Times" w:eastAsia="Times New Roman" w:hAnsi="Times"/>
                <w:b/>
                <w:color w:val="000000"/>
                <w:kern w:val="0"/>
                <w:lang w:eastAsia="en-US"/>
              </w:rPr>
            </w:pPr>
            <w:r w:rsidRPr="006548F0">
              <w:rPr>
                <w:rFonts w:ascii="Times" w:eastAsia="Times New Roman" w:hAnsi="Times"/>
                <w:b/>
                <w:color w:val="000000"/>
                <w:kern w:val="0"/>
                <w:lang w:eastAsia="en-US"/>
              </w:rPr>
              <w:t>Station 1</w:t>
            </w:r>
            <w:r w:rsidR="00AD7886" w:rsidRPr="006548F0">
              <w:rPr>
                <w:rFonts w:ascii="Times" w:eastAsia="Times New Roman" w:hAnsi="Times"/>
                <w:b/>
                <w:color w:val="000000"/>
                <w:kern w:val="0"/>
                <w:lang w:eastAsia="en-US"/>
              </w:rPr>
              <w:t xml:space="preserve"> </w:t>
            </w:r>
            <w:r w:rsidRPr="006548F0">
              <w:rPr>
                <w:rFonts w:ascii="Times" w:eastAsia="Times New Roman" w:hAnsi="Times"/>
                <w:b/>
                <w:color w:val="000000"/>
                <w:kern w:val="0"/>
                <w:lang w:eastAsia="en-US"/>
              </w:rPr>
              <w:t>(</w:t>
            </w:r>
            <w:r w:rsidR="00AD7886" w:rsidRPr="006548F0">
              <w:rPr>
                <w:rFonts w:ascii="Times" w:eastAsia="Times New Roman" w:hAnsi="Times"/>
                <w:b/>
                <w:color w:val="000000"/>
                <w:kern w:val="0"/>
                <w:lang w:eastAsia="en-US"/>
              </w:rPr>
              <w:t xml:space="preserve">SOL </w:t>
            </w:r>
            <w:r w:rsidRPr="006548F0">
              <w:rPr>
                <w:rFonts w:ascii="Times" w:eastAsia="Times New Roman" w:hAnsi="Times"/>
                <w:b/>
                <w:color w:val="000000"/>
                <w:kern w:val="0"/>
                <w:lang w:eastAsia="en-US"/>
              </w:rPr>
              <w:t>1.2b</w:t>
            </w:r>
            <w:r w:rsidR="00E145C2" w:rsidRPr="006548F0">
              <w:rPr>
                <w:rFonts w:ascii="Times" w:eastAsia="Times New Roman" w:hAnsi="Times"/>
                <w:b/>
                <w:color w:val="000000"/>
                <w:kern w:val="0"/>
                <w:lang w:eastAsia="en-US"/>
              </w:rPr>
              <w:t>)</w:t>
            </w:r>
          </w:p>
          <w:p w14:paraId="5D46A3E1" w14:textId="6C5F3252" w:rsidR="008222A8" w:rsidRPr="008222A8" w:rsidRDefault="008222A8" w:rsidP="006548F0">
            <w:pPr>
              <w:widowControl/>
              <w:spacing w:after="120"/>
              <w:rPr>
                <w:rFonts w:eastAsia="Times New Roman"/>
                <w:kern w:val="0"/>
                <w:lang w:eastAsia="en-US"/>
              </w:rPr>
            </w:pPr>
            <w:r w:rsidRPr="008222A8">
              <w:rPr>
                <w:rFonts w:ascii="Times" w:eastAsia="Times New Roman" w:hAnsi="Times"/>
                <w:color w:val="000000"/>
                <w:kern w:val="0"/>
                <w:lang w:eastAsia="en-US"/>
              </w:rPr>
              <w:t>Comparing Numbers Sticker page.  </w:t>
            </w:r>
          </w:p>
          <w:p w14:paraId="3051939B" w14:textId="565B3009" w:rsidR="00E145C2" w:rsidRPr="006548F0" w:rsidRDefault="008222A8" w:rsidP="006548F0">
            <w:pPr>
              <w:spacing w:after="120"/>
              <w:rPr>
                <w:rFonts w:ascii="Times" w:eastAsia="Times New Roman" w:hAnsi="Times"/>
                <w:b/>
                <w:color w:val="000000"/>
                <w:kern w:val="0"/>
                <w:lang w:eastAsia="en-US"/>
              </w:rPr>
            </w:pPr>
            <w:r w:rsidRPr="006548F0">
              <w:rPr>
                <w:rFonts w:ascii="Times" w:eastAsia="Times New Roman" w:hAnsi="Times"/>
                <w:b/>
                <w:color w:val="000000"/>
                <w:kern w:val="0"/>
                <w:lang w:eastAsia="en-US"/>
              </w:rPr>
              <w:t>Guided Practice</w:t>
            </w:r>
          </w:p>
          <w:p w14:paraId="5D46A3E3" w14:textId="11BA7405" w:rsidR="008222A8" w:rsidRDefault="005D3424" w:rsidP="006548F0">
            <w:pPr>
              <w:spacing w:after="120"/>
              <w:rPr>
                <w:rFonts w:ascii="Times" w:eastAsia="Times New Roman" w:hAnsi="Times"/>
                <w:color w:val="000000"/>
                <w:kern w:val="0"/>
                <w:lang w:eastAsia="en-US"/>
              </w:rPr>
            </w:pPr>
            <w:r>
              <w:rPr>
                <w:rFonts w:ascii="Times" w:eastAsia="Times New Roman" w:hAnsi="Times"/>
                <w:color w:val="000000"/>
                <w:kern w:val="0"/>
                <w:lang w:eastAsia="en-US"/>
              </w:rPr>
              <w:t xml:space="preserve">Give each student </w:t>
            </w:r>
            <w:r w:rsidR="00AD7886">
              <w:rPr>
                <w:rFonts w:ascii="Times" w:eastAsia="Times New Roman" w:hAnsi="Times"/>
                <w:color w:val="000000"/>
                <w:kern w:val="0"/>
                <w:lang w:eastAsia="en-US"/>
              </w:rPr>
              <w:t xml:space="preserve">three </w:t>
            </w:r>
            <w:r>
              <w:rPr>
                <w:rFonts w:ascii="Times" w:eastAsia="Times New Roman" w:hAnsi="Times"/>
                <w:color w:val="000000"/>
                <w:kern w:val="0"/>
                <w:lang w:eastAsia="en-US"/>
              </w:rPr>
              <w:t xml:space="preserve">papers that have been labeled </w:t>
            </w:r>
            <w:r w:rsidR="00AD7886">
              <w:rPr>
                <w:rFonts w:ascii="Times" w:eastAsia="Times New Roman" w:hAnsi="Times"/>
                <w:color w:val="000000"/>
                <w:kern w:val="0"/>
                <w:lang w:eastAsia="en-US"/>
              </w:rPr>
              <w:t>“</w:t>
            </w:r>
            <w:r>
              <w:rPr>
                <w:rFonts w:ascii="Times" w:eastAsia="Times New Roman" w:hAnsi="Times"/>
                <w:color w:val="000000"/>
                <w:kern w:val="0"/>
                <w:lang w:eastAsia="en-US"/>
              </w:rPr>
              <w:t>greater than,</w:t>
            </w:r>
            <w:r w:rsidR="00AD7886">
              <w:rPr>
                <w:rFonts w:ascii="Times" w:eastAsia="Times New Roman" w:hAnsi="Times"/>
                <w:color w:val="000000"/>
                <w:kern w:val="0"/>
                <w:lang w:eastAsia="en-US"/>
              </w:rPr>
              <w:t>”</w:t>
            </w:r>
            <w:r>
              <w:rPr>
                <w:rFonts w:ascii="Times" w:eastAsia="Times New Roman" w:hAnsi="Times"/>
                <w:color w:val="000000"/>
                <w:kern w:val="0"/>
                <w:lang w:eastAsia="en-US"/>
              </w:rPr>
              <w:t xml:space="preserve"> </w:t>
            </w:r>
            <w:r w:rsidR="00AD7886">
              <w:rPr>
                <w:rFonts w:ascii="Times" w:eastAsia="Times New Roman" w:hAnsi="Times"/>
                <w:color w:val="000000"/>
                <w:kern w:val="0"/>
                <w:lang w:eastAsia="en-US"/>
              </w:rPr>
              <w:t>“</w:t>
            </w:r>
            <w:r>
              <w:rPr>
                <w:rFonts w:ascii="Times" w:eastAsia="Times New Roman" w:hAnsi="Times"/>
                <w:color w:val="000000"/>
                <w:kern w:val="0"/>
                <w:lang w:eastAsia="en-US"/>
              </w:rPr>
              <w:t>less than,</w:t>
            </w:r>
            <w:r w:rsidR="00AD7886">
              <w:rPr>
                <w:rFonts w:ascii="Times" w:eastAsia="Times New Roman" w:hAnsi="Times"/>
                <w:color w:val="000000"/>
                <w:kern w:val="0"/>
                <w:lang w:eastAsia="en-US"/>
              </w:rPr>
              <w:t>”</w:t>
            </w:r>
            <w:r>
              <w:rPr>
                <w:rFonts w:ascii="Times" w:eastAsia="Times New Roman" w:hAnsi="Times"/>
                <w:color w:val="000000"/>
                <w:kern w:val="0"/>
                <w:lang w:eastAsia="en-US"/>
              </w:rPr>
              <w:t xml:space="preserve"> or </w:t>
            </w:r>
            <w:r w:rsidR="00AD7886">
              <w:rPr>
                <w:rFonts w:ascii="Times" w:eastAsia="Times New Roman" w:hAnsi="Times"/>
                <w:color w:val="000000"/>
                <w:kern w:val="0"/>
                <w:lang w:eastAsia="en-US"/>
              </w:rPr>
              <w:t xml:space="preserve">“equal” </w:t>
            </w:r>
            <w:r>
              <w:rPr>
                <w:rFonts w:ascii="Times" w:eastAsia="Times New Roman" w:hAnsi="Times"/>
                <w:color w:val="000000"/>
                <w:kern w:val="0"/>
                <w:lang w:eastAsia="en-US"/>
              </w:rPr>
              <w:t xml:space="preserve">across the bottom. </w:t>
            </w:r>
            <w:r w:rsidR="00AD7886">
              <w:rPr>
                <w:rFonts w:ascii="Times" w:eastAsia="Times New Roman" w:hAnsi="Times"/>
                <w:color w:val="000000"/>
                <w:kern w:val="0"/>
                <w:lang w:eastAsia="en-US"/>
              </w:rPr>
              <w:t>GE</w:t>
            </w:r>
            <w:r w:rsidR="00AD7886" w:rsidRPr="008222A8">
              <w:rPr>
                <w:rFonts w:ascii="Times" w:eastAsia="Times New Roman" w:hAnsi="Times"/>
                <w:color w:val="000000"/>
                <w:kern w:val="0"/>
                <w:lang w:eastAsia="en-US"/>
              </w:rPr>
              <w:t xml:space="preserve"> </w:t>
            </w:r>
            <w:r w:rsidR="008222A8" w:rsidRPr="008222A8">
              <w:rPr>
                <w:rFonts w:ascii="Times" w:eastAsia="Times New Roman" w:hAnsi="Times"/>
                <w:color w:val="000000"/>
                <w:kern w:val="0"/>
                <w:lang w:eastAsia="en-US"/>
              </w:rPr>
              <w:t>will demonstrate to students that they will use small stickers to create sets that show greater than, less than</w:t>
            </w:r>
            <w:r w:rsidR="005514B5">
              <w:rPr>
                <w:rFonts w:ascii="Times" w:eastAsia="Times New Roman" w:hAnsi="Times"/>
                <w:color w:val="000000"/>
                <w:kern w:val="0"/>
                <w:lang w:eastAsia="en-US"/>
              </w:rPr>
              <w:t xml:space="preserve">, </w:t>
            </w:r>
            <w:r w:rsidR="002C2E1A">
              <w:rPr>
                <w:rFonts w:ascii="Times" w:eastAsia="Times New Roman" w:hAnsi="Times"/>
                <w:color w:val="000000"/>
                <w:kern w:val="0"/>
                <w:lang w:eastAsia="en-US"/>
              </w:rPr>
              <w:t>or</w:t>
            </w:r>
            <w:r w:rsidR="008222A8" w:rsidRPr="008222A8">
              <w:rPr>
                <w:rFonts w:ascii="Times" w:eastAsia="Times New Roman" w:hAnsi="Times"/>
                <w:color w:val="000000"/>
                <w:kern w:val="0"/>
                <w:lang w:eastAsia="en-US"/>
              </w:rPr>
              <w:t xml:space="preserve"> equal to on paper that has been folded in half to create left and right sides. Students determine the number of stickers that they place in each set and on each side</w:t>
            </w:r>
            <w:r w:rsidR="00AD7886">
              <w:rPr>
                <w:rFonts w:ascii="Times" w:eastAsia="Times New Roman" w:hAnsi="Times"/>
                <w:color w:val="000000"/>
                <w:kern w:val="0"/>
                <w:lang w:eastAsia="en-US"/>
              </w:rPr>
              <w:t xml:space="preserve"> of the paper</w:t>
            </w:r>
            <w:r w:rsidR="008222A8" w:rsidRPr="008222A8">
              <w:rPr>
                <w:rFonts w:ascii="Times" w:eastAsia="Times New Roman" w:hAnsi="Times"/>
                <w:color w:val="000000"/>
                <w:kern w:val="0"/>
                <w:lang w:eastAsia="en-US"/>
              </w:rPr>
              <w:t>. </w:t>
            </w:r>
            <w:r w:rsidR="00AD7886">
              <w:rPr>
                <w:rFonts w:ascii="Times" w:eastAsia="Times New Roman" w:hAnsi="Times"/>
                <w:color w:val="000000"/>
                <w:kern w:val="0"/>
                <w:lang w:eastAsia="en-US"/>
              </w:rPr>
              <w:t>The</w:t>
            </w:r>
            <w:r>
              <w:rPr>
                <w:rFonts w:ascii="Times" w:eastAsia="Times New Roman" w:hAnsi="Times"/>
                <w:color w:val="000000"/>
                <w:kern w:val="0"/>
                <w:lang w:eastAsia="en-US"/>
              </w:rPr>
              <w:t xml:space="preserve"> student will </w:t>
            </w:r>
            <w:r w:rsidR="00AD7886">
              <w:rPr>
                <w:rFonts w:ascii="Times" w:eastAsia="Times New Roman" w:hAnsi="Times"/>
                <w:color w:val="000000"/>
                <w:kern w:val="0"/>
                <w:lang w:eastAsia="en-US"/>
              </w:rPr>
              <w:t xml:space="preserve">look at the paper to </w:t>
            </w:r>
            <w:r>
              <w:rPr>
                <w:rFonts w:ascii="Times" w:eastAsia="Times New Roman" w:hAnsi="Times"/>
                <w:color w:val="000000"/>
                <w:kern w:val="0"/>
                <w:lang w:eastAsia="en-US"/>
              </w:rPr>
              <w:t xml:space="preserve">determine </w:t>
            </w:r>
            <w:r w:rsidR="00AD7886">
              <w:rPr>
                <w:rFonts w:ascii="Times" w:eastAsia="Times New Roman" w:hAnsi="Times"/>
                <w:color w:val="000000"/>
                <w:kern w:val="0"/>
                <w:lang w:eastAsia="en-US"/>
              </w:rPr>
              <w:t xml:space="preserve">whether </w:t>
            </w:r>
            <w:r>
              <w:rPr>
                <w:rFonts w:ascii="Times" w:eastAsia="Times New Roman" w:hAnsi="Times"/>
                <w:color w:val="000000"/>
                <w:kern w:val="0"/>
                <w:lang w:eastAsia="en-US"/>
              </w:rPr>
              <w:t xml:space="preserve">the set on the left is greater than, less than, or equal to the set on the right. </w:t>
            </w:r>
            <w:r w:rsidR="00AD7886">
              <w:rPr>
                <w:rFonts w:ascii="Times" w:eastAsia="Times New Roman" w:hAnsi="Times"/>
                <w:color w:val="000000"/>
                <w:kern w:val="0"/>
                <w:lang w:eastAsia="en-US"/>
              </w:rPr>
              <w:t>They</w:t>
            </w:r>
            <w:r w:rsidR="008222A8" w:rsidRPr="008222A8">
              <w:rPr>
                <w:rFonts w:ascii="Times" w:eastAsia="Times New Roman" w:hAnsi="Times"/>
                <w:color w:val="000000"/>
                <w:kern w:val="0"/>
                <w:lang w:eastAsia="en-US"/>
              </w:rPr>
              <w:t xml:space="preserve"> will circle the set </w:t>
            </w:r>
            <w:r>
              <w:rPr>
                <w:rFonts w:ascii="Times" w:eastAsia="Times New Roman" w:hAnsi="Times"/>
                <w:color w:val="000000"/>
                <w:kern w:val="0"/>
                <w:lang w:eastAsia="en-US"/>
              </w:rPr>
              <w:t xml:space="preserve">and the corresponding word </w:t>
            </w:r>
            <w:r w:rsidR="008222A8" w:rsidRPr="008222A8">
              <w:rPr>
                <w:rFonts w:ascii="Times" w:eastAsia="Times New Roman" w:hAnsi="Times"/>
                <w:color w:val="000000"/>
                <w:kern w:val="0"/>
                <w:lang w:eastAsia="en-US"/>
              </w:rPr>
              <w:t xml:space="preserve">that has </w:t>
            </w:r>
            <w:r w:rsidR="00B0468B">
              <w:rPr>
                <w:rFonts w:ascii="Times" w:eastAsia="Times New Roman" w:hAnsi="Times"/>
                <w:color w:val="000000"/>
                <w:kern w:val="0"/>
                <w:lang w:eastAsia="en-US"/>
              </w:rPr>
              <w:t>greater</w:t>
            </w:r>
            <w:r w:rsidR="008222A8" w:rsidRPr="008222A8">
              <w:rPr>
                <w:rFonts w:ascii="Times" w:eastAsia="Times New Roman" w:hAnsi="Times"/>
                <w:color w:val="000000"/>
                <w:kern w:val="0"/>
                <w:lang w:eastAsia="en-US"/>
              </w:rPr>
              <w:t>, less</w:t>
            </w:r>
            <w:r w:rsidR="00AD7886">
              <w:rPr>
                <w:rFonts w:ascii="Times" w:eastAsia="Times New Roman" w:hAnsi="Times"/>
                <w:color w:val="000000"/>
                <w:kern w:val="0"/>
                <w:lang w:eastAsia="en-US"/>
              </w:rPr>
              <w:t>,</w:t>
            </w:r>
            <w:r w:rsidR="008222A8" w:rsidRPr="008222A8">
              <w:rPr>
                <w:rFonts w:ascii="Times" w:eastAsia="Times New Roman" w:hAnsi="Times"/>
                <w:color w:val="000000"/>
                <w:kern w:val="0"/>
                <w:lang w:eastAsia="en-US"/>
              </w:rPr>
              <w:t xml:space="preserve"> or equal amounts.</w:t>
            </w:r>
            <w:r w:rsidR="001F6701">
              <w:rPr>
                <w:rFonts w:ascii="Times" w:eastAsia="Times New Roman" w:hAnsi="Times"/>
                <w:color w:val="000000"/>
                <w:kern w:val="0"/>
                <w:lang w:eastAsia="en-US"/>
              </w:rPr>
              <w:t xml:space="preserve"> </w:t>
            </w:r>
            <w:r w:rsidR="00B0468B">
              <w:rPr>
                <w:rFonts w:ascii="Times" w:eastAsia="Times New Roman" w:hAnsi="Times"/>
                <w:color w:val="000000"/>
                <w:kern w:val="0"/>
                <w:lang w:eastAsia="en-US"/>
              </w:rPr>
              <w:t xml:space="preserve">Students will make </w:t>
            </w:r>
            <w:r w:rsidR="00AD7886">
              <w:rPr>
                <w:rFonts w:ascii="Times" w:eastAsia="Times New Roman" w:hAnsi="Times"/>
                <w:color w:val="000000"/>
                <w:kern w:val="0"/>
                <w:lang w:eastAsia="en-US"/>
              </w:rPr>
              <w:t xml:space="preserve">three </w:t>
            </w:r>
            <w:r w:rsidR="00B0468B">
              <w:rPr>
                <w:rFonts w:ascii="Times" w:eastAsia="Times New Roman" w:hAnsi="Times"/>
                <w:color w:val="000000"/>
                <w:kern w:val="0"/>
                <w:lang w:eastAsia="en-US"/>
              </w:rPr>
              <w:t>different models of the concept words.</w:t>
            </w:r>
          </w:p>
          <w:p w14:paraId="1EDAD462" w14:textId="3901AD2C" w:rsidR="00E145C2" w:rsidRPr="006548F0" w:rsidRDefault="008222A8" w:rsidP="006548F0">
            <w:pPr>
              <w:pStyle w:val="NormalWeb"/>
              <w:spacing w:before="0" w:beforeAutospacing="0" w:after="120" w:afterAutospacing="0"/>
              <w:rPr>
                <w:rFonts w:ascii="Times" w:hAnsi="Times"/>
                <w:b/>
                <w:color w:val="000000"/>
              </w:rPr>
            </w:pPr>
            <w:r w:rsidRPr="006548F0">
              <w:rPr>
                <w:rFonts w:ascii="Times" w:hAnsi="Times"/>
                <w:b/>
                <w:color w:val="000000"/>
              </w:rPr>
              <w:t xml:space="preserve">Station 2 </w:t>
            </w:r>
            <w:r w:rsidR="005D3424" w:rsidRPr="006548F0">
              <w:rPr>
                <w:rFonts w:ascii="Times" w:hAnsi="Times"/>
                <w:b/>
                <w:color w:val="000000"/>
              </w:rPr>
              <w:t>(Standard 1.2c</w:t>
            </w:r>
            <w:r w:rsidR="00E145C2" w:rsidRPr="006548F0">
              <w:rPr>
                <w:rFonts w:ascii="Times" w:hAnsi="Times"/>
                <w:b/>
                <w:color w:val="000000"/>
              </w:rPr>
              <w:t>)</w:t>
            </w:r>
          </w:p>
          <w:p w14:paraId="5D46A3E4" w14:textId="45F9E534" w:rsidR="008222A8" w:rsidRPr="006548F0" w:rsidRDefault="008222A8" w:rsidP="006548F0">
            <w:pPr>
              <w:pStyle w:val="NormalWeb"/>
              <w:spacing w:before="0" w:beforeAutospacing="0" w:after="120" w:afterAutospacing="0"/>
              <w:rPr>
                <w:b/>
              </w:rPr>
            </w:pPr>
            <w:r w:rsidRPr="006548F0">
              <w:rPr>
                <w:rFonts w:ascii="Times" w:hAnsi="Times"/>
                <w:b/>
                <w:color w:val="000000"/>
              </w:rPr>
              <w:t>Independent Practice</w:t>
            </w:r>
          </w:p>
          <w:p w14:paraId="5D46A3E6" w14:textId="438E6A1E" w:rsidR="008222A8" w:rsidRPr="009065CE" w:rsidRDefault="008222A8" w:rsidP="006548F0">
            <w:pPr>
              <w:pStyle w:val="NormalWeb"/>
              <w:spacing w:before="0" w:beforeAutospacing="0" w:after="120" w:afterAutospacing="0"/>
            </w:pPr>
            <w:r>
              <w:rPr>
                <w:rFonts w:ascii="Times" w:hAnsi="Times"/>
                <w:color w:val="000000"/>
              </w:rPr>
              <w:t xml:space="preserve">Students </w:t>
            </w:r>
            <w:r w:rsidR="00AD7886">
              <w:rPr>
                <w:rFonts w:ascii="Times" w:hAnsi="Times"/>
                <w:color w:val="000000"/>
              </w:rPr>
              <w:t>work</w:t>
            </w:r>
            <w:r>
              <w:rPr>
                <w:rFonts w:ascii="Times" w:hAnsi="Times"/>
                <w:color w:val="000000"/>
              </w:rPr>
              <w:t xml:space="preserve"> with a partner </w:t>
            </w:r>
            <w:r w:rsidR="00AD7886">
              <w:rPr>
                <w:rFonts w:ascii="Times" w:hAnsi="Times"/>
                <w:color w:val="000000"/>
              </w:rPr>
              <w:t xml:space="preserve">at </w:t>
            </w:r>
            <w:r>
              <w:rPr>
                <w:rFonts w:ascii="Times" w:hAnsi="Times"/>
                <w:color w:val="000000"/>
              </w:rPr>
              <w:t>this center. Each partner will use one deck of cards</w:t>
            </w:r>
            <w:r w:rsidR="001F6701">
              <w:rPr>
                <w:rFonts w:ascii="Times" w:hAnsi="Times"/>
                <w:color w:val="000000"/>
              </w:rPr>
              <w:t>, taking out the face cards</w:t>
            </w:r>
            <w:r>
              <w:rPr>
                <w:rFonts w:ascii="Times" w:hAnsi="Times"/>
                <w:color w:val="000000"/>
              </w:rPr>
              <w:t xml:space="preserve">. Students first determine </w:t>
            </w:r>
            <w:r w:rsidR="00AD7886">
              <w:rPr>
                <w:rFonts w:ascii="Times" w:hAnsi="Times"/>
                <w:color w:val="000000"/>
              </w:rPr>
              <w:t xml:space="preserve">whether </w:t>
            </w:r>
            <w:r>
              <w:rPr>
                <w:rFonts w:ascii="Times" w:hAnsi="Times"/>
                <w:color w:val="000000"/>
              </w:rPr>
              <w:t xml:space="preserve">they will be ordering from least to greatest or greatest to least. Then, they will both draw </w:t>
            </w:r>
            <w:r w:rsidR="00AD7886">
              <w:rPr>
                <w:rFonts w:ascii="Times" w:hAnsi="Times"/>
                <w:color w:val="000000"/>
              </w:rPr>
              <w:t xml:space="preserve">three </w:t>
            </w:r>
            <w:r>
              <w:rPr>
                <w:rFonts w:ascii="Times" w:hAnsi="Times"/>
                <w:color w:val="000000"/>
              </w:rPr>
              <w:t xml:space="preserve">cards from the deck and race to place them in order. Students will continue in this manner until all cards have been used. </w:t>
            </w:r>
          </w:p>
        </w:tc>
        <w:tc>
          <w:tcPr>
            <w:tcW w:w="4117" w:type="dxa"/>
          </w:tcPr>
          <w:p w14:paraId="63BB420A" w14:textId="4B28B8D8" w:rsidR="00E145C2" w:rsidRPr="006548F0" w:rsidRDefault="008222A8" w:rsidP="006548F0">
            <w:pPr>
              <w:pStyle w:val="NormalWeb"/>
              <w:spacing w:before="0" w:beforeAutospacing="0" w:after="120" w:afterAutospacing="0"/>
              <w:rPr>
                <w:rFonts w:ascii="Times" w:hAnsi="Times"/>
                <w:b/>
                <w:color w:val="000000"/>
              </w:rPr>
            </w:pPr>
            <w:r w:rsidRPr="006548F0">
              <w:rPr>
                <w:rFonts w:ascii="Times" w:hAnsi="Times"/>
                <w:b/>
                <w:color w:val="000000"/>
              </w:rPr>
              <w:t>Station 3 (</w:t>
            </w:r>
            <w:r w:rsidR="00AD7886" w:rsidRPr="006548F0">
              <w:rPr>
                <w:rFonts w:ascii="Times" w:hAnsi="Times"/>
                <w:b/>
                <w:color w:val="000000"/>
              </w:rPr>
              <w:t xml:space="preserve">SOL </w:t>
            </w:r>
            <w:r w:rsidRPr="006548F0">
              <w:rPr>
                <w:rFonts w:ascii="Times" w:hAnsi="Times"/>
                <w:b/>
                <w:color w:val="000000"/>
              </w:rPr>
              <w:t>1.2c</w:t>
            </w:r>
            <w:r w:rsidR="00E145C2" w:rsidRPr="006548F0">
              <w:rPr>
                <w:rFonts w:ascii="Times" w:hAnsi="Times"/>
                <w:b/>
                <w:color w:val="000000"/>
              </w:rPr>
              <w:t>)</w:t>
            </w:r>
          </w:p>
          <w:p w14:paraId="5D46A3E7" w14:textId="09B444AC" w:rsidR="008222A8" w:rsidRPr="006548F0" w:rsidRDefault="008222A8" w:rsidP="006548F0">
            <w:pPr>
              <w:pStyle w:val="NormalWeb"/>
              <w:spacing w:before="0" w:beforeAutospacing="0" w:after="120" w:afterAutospacing="0"/>
              <w:rPr>
                <w:b/>
              </w:rPr>
            </w:pPr>
            <w:r w:rsidRPr="006548F0">
              <w:rPr>
                <w:rFonts w:ascii="Times" w:hAnsi="Times"/>
                <w:b/>
                <w:color w:val="000000"/>
              </w:rPr>
              <w:t>Guided Practice</w:t>
            </w:r>
          </w:p>
          <w:p w14:paraId="5D46A3E9" w14:textId="7641BE20" w:rsidR="00FF546C" w:rsidRPr="009065CE" w:rsidRDefault="008222A8" w:rsidP="006548F0">
            <w:pPr>
              <w:pStyle w:val="NormalWeb"/>
              <w:spacing w:before="0" w:beforeAutospacing="0" w:after="120" w:afterAutospacing="0"/>
            </w:pPr>
            <w:r>
              <w:rPr>
                <w:rFonts w:ascii="Times" w:hAnsi="Times"/>
                <w:color w:val="000000"/>
              </w:rPr>
              <w:t xml:space="preserve">Using the bags/containers of manipulatives (see materials list), students will count out their </w:t>
            </w:r>
            <w:r w:rsidR="00AD7886">
              <w:rPr>
                <w:rFonts w:ascii="Times" w:hAnsi="Times"/>
                <w:color w:val="000000"/>
              </w:rPr>
              <w:t xml:space="preserve">three </w:t>
            </w:r>
            <w:r>
              <w:rPr>
                <w:rFonts w:ascii="Times" w:hAnsi="Times"/>
                <w:color w:val="000000"/>
              </w:rPr>
              <w:t xml:space="preserve">sets of objects and order them from least to greatest and then greatest to least. On an index card, students will record the bag/container </w:t>
            </w:r>
            <w:r w:rsidR="00AD7886">
              <w:rPr>
                <w:rFonts w:ascii="Times" w:hAnsi="Times"/>
                <w:color w:val="000000"/>
              </w:rPr>
              <w:t xml:space="preserve">number, </w:t>
            </w:r>
            <w:r>
              <w:rPr>
                <w:rFonts w:ascii="Times" w:hAnsi="Times"/>
                <w:color w:val="000000"/>
              </w:rPr>
              <w:t>their name, and write down the corresponding set numbers from least to greatest.</w:t>
            </w:r>
          </w:p>
        </w:tc>
      </w:tr>
      <w:tr w:rsidR="00FF546C" w14:paraId="5D46A3EF" w14:textId="77777777" w:rsidTr="006548F0">
        <w:tc>
          <w:tcPr>
            <w:tcW w:w="2088" w:type="dxa"/>
          </w:tcPr>
          <w:p w14:paraId="5D46A3EB" w14:textId="77777777" w:rsidR="00FF546C" w:rsidRPr="009065CE" w:rsidRDefault="00FF546C" w:rsidP="00FF546C">
            <w:pPr>
              <w:rPr>
                <w:b/>
              </w:rPr>
            </w:pPr>
            <w:r w:rsidRPr="009065CE">
              <w:rPr>
                <w:b/>
              </w:rPr>
              <w:t>Closure</w:t>
            </w:r>
          </w:p>
        </w:tc>
        <w:tc>
          <w:tcPr>
            <w:tcW w:w="2340" w:type="dxa"/>
          </w:tcPr>
          <w:p w14:paraId="5D46A3EC" w14:textId="77777777" w:rsidR="00FF546C" w:rsidRPr="00885417" w:rsidRDefault="008222A8" w:rsidP="009065CE">
            <w:r>
              <w:t>Team Teaching</w:t>
            </w:r>
          </w:p>
        </w:tc>
        <w:tc>
          <w:tcPr>
            <w:tcW w:w="4320" w:type="dxa"/>
          </w:tcPr>
          <w:p w14:paraId="5D46A3ED" w14:textId="3AAF1812" w:rsidR="00FF546C" w:rsidRPr="009065CE" w:rsidRDefault="008222A8" w:rsidP="006548F0">
            <w:pPr>
              <w:spacing w:after="120"/>
            </w:pPr>
            <w:r>
              <w:rPr>
                <w:rFonts w:ascii="Times" w:hAnsi="Times"/>
                <w:color w:val="000000"/>
              </w:rPr>
              <w:t xml:space="preserve">Bring students back to </w:t>
            </w:r>
            <w:r w:rsidR="00AD7886">
              <w:rPr>
                <w:rFonts w:ascii="Times" w:hAnsi="Times"/>
                <w:color w:val="000000"/>
              </w:rPr>
              <w:t>a whole-</w:t>
            </w:r>
            <w:r>
              <w:rPr>
                <w:rFonts w:ascii="Times" w:hAnsi="Times"/>
                <w:color w:val="000000"/>
              </w:rPr>
              <w:t>group setting and call on a few students to share their index card</w:t>
            </w:r>
            <w:r w:rsidR="00AD7886">
              <w:rPr>
                <w:rFonts w:ascii="Times" w:hAnsi="Times"/>
                <w:color w:val="000000"/>
              </w:rPr>
              <w:t>s</w:t>
            </w:r>
            <w:r>
              <w:rPr>
                <w:rFonts w:ascii="Times" w:hAnsi="Times"/>
                <w:color w:val="000000"/>
              </w:rPr>
              <w:t xml:space="preserve"> from </w:t>
            </w:r>
            <w:r w:rsidR="00AD7886">
              <w:rPr>
                <w:rFonts w:ascii="Times" w:hAnsi="Times"/>
                <w:color w:val="000000"/>
              </w:rPr>
              <w:t xml:space="preserve">Station </w:t>
            </w:r>
            <w:r>
              <w:rPr>
                <w:rFonts w:ascii="Times" w:hAnsi="Times"/>
                <w:color w:val="000000"/>
              </w:rPr>
              <w:t>3. They will show and explain to the class their set and number order.</w:t>
            </w:r>
          </w:p>
        </w:tc>
        <w:tc>
          <w:tcPr>
            <w:tcW w:w="4117" w:type="dxa"/>
          </w:tcPr>
          <w:p w14:paraId="5D46A3EE" w14:textId="6A3B341E" w:rsidR="001F6701" w:rsidRPr="00500BAA" w:rsidRDefault="001F6701" w:rsidP="006548F0">
            <w:pPr>
              <w:spacing w:after="120"/>
              <w:rPr>
                <w:rFonts w:asciiTheme="minorHAnsi" w:hAnsiTheme="minorHAnsi" w:cstheme="minorHAnsi"/>
              </w:rPr>
            </w:pPr>
            <w:r>
              <w:rPr>
                <w:rFonts w:ascii="Times" w:hAnsi="Times"/>
                <w:color w:val="000000"/>
              </w:rPr>
              <w:t>Same as GE.</w:t>
            </w:r>
          </w:p>
        </w:tc>
      </w:tr>
      <w:tr w:rsidR="00FF546C" w14:paraId="5D46A3F4" w14:textId="77777777" w:rsidTr="006548F0">
        <w:tc>
          <w:tcPr>
            <w:tcW w:w="2088" w:type="dxa"/>
          </w:tcPr>
          <w:p w14:paraId="5D46A3F0" w14:textId="77777777" w:rsidR="00FF546C" w:rsidRPr="009065CE" w:rsidRDefault="00FF546C" w:rsidP="00FF546C">
            <w:pPr>
              <w:rPr>
                <w:b/>
              </w:rPr>
            </w:pPr>
            <w:r w:rsidRPr="009065CE">
              <w:rPr>
                <w:b/>
              </w:rPr>
              <w:t>Formative Assessment Strategies</w:t>
            </w:r>
          </w:p>
        </w:tc>
        <w:tc>
          <w:tcPr>
            <w:tcW w:w="2340" w:type="dxa"/>
          </w:tcPr>
          <w:p w14:paraId="5D46A3F1" w14:textId="5C38A5D4" w:rsidR="00F948BF" w:rsidRPr="009065CE" w:rsidRDefault="001F6701" w:rsidP="00F948BF">
            <w:r>
              <w:t>One Teach/One Observe</w:t>
            </w:r>
          </w:p>
        </w:tc>
        <w:tc>
          <w:tcPr>
            <w:tcW w:w="4320" w:type="dxa"/>
          </w:tcPr>
          <w:p w14:paraId="5D46A3F2" w14:textId="654D07A5" w:rsidR="00CF2234" w:rsidRPr="009065CE" w:rsidRDefault="008222A8" w:rsidP="006548F0">
            <w:pPr>
              <w:spacing w:after="120"/>
            </w:pPr>
            <w:r>
              <w:rPr>
                <w:rFonts w:ascii="Times" w:hAnsi="Times"/>
                <w:color w:val="000000"/>
              </w:rPr>
              <w:t xml:space="preserve">In the </w:t>
            </w:r>
            <w:r w:rsidR="00AD7886">
              <w:rPr>
                <w:rFonts w:ascii="Times" w:hAnsi="Times"/>
                <w:color w:val="000000"/>
              </w:rPr>
              <w:t>whole-</w:t>
            </w:r>
            <w:r>
              <w:rPr>
                <w:rFonts w:ascii="Times" w:hAnsi="Times"/>
                <w:color w:val="000000"/>
              </w:rPr>
              <w:t>group setting</w:t>
            </w:r>
            <w:r w:rsidR="00AD7886">
              <w:rPr>
                <w:rFonts w:ascii="Times" w:hAnsi="Times"/>
                <w:color w:val="000000"/>
              </w:rPr>
              <w:t>,</w:t>
            </w:r>
            <w:r>
              <w:rPr>
                <w:rFonts w:ascii="Times" w:hAnsi="Times"/>
                <w:color w:val="000000"/>
              </w:rPr>
              <w:t xml:space="preserve"> show the students </w:t>
            </w:r>
            <w:r w:rsidR="00AD7886">
              <w:rPr>
                <w:rFonts w:ascii="Times" w:hAnsi="Times"/>
                <w:color w:val="000000"/>
              </w:rPr>
              <w:t xml:space="preserve">two </w:t>
            </w:r>
            <w:r>
              <w:rPr>
                <w:rFonts w:ascii="Times" w:hAnsi="Times"/>
                <w:color w:val="000000"/>
              </w:rPr>
              <w:t>sets of classroom objects (</w:t>
            </w:r>
            <w:r w:rsidR="00AD7886">
              <w:rPr>
                <w:rFonts w:ascii="Times" w:hAnsi="Times"/>
                <w:color w:val="000000"/>
              </w:rPr>
              <w:t>e.g</w:t>
            </w:r>
            <w:r>
              <w:rPr>
                <w:rFonts w:ascii="Times" w:hAnsi="Times"/>
                <w:color w:val="000000"/>
              </w:rPr>
              <w:t>.</w:t>
            </w:r>
            <w:r w:rsidR="00AD7886">
              <w:rPr>
                <w:rFonts w:ascii="Times" w:hAnsi="Times"/>
                <w:color w:val="000000"/>
              </w:rPr>
              <w:t>,</w:t>
            </w:r>
            <w:r>
              <w:rPr>
                <w:rFonts w:ascii="Times" w:hAnsi="Times"/>
                <w:color w:val="000000"/>
              </w:rPr>
              <w:t xml:space="preserve"> sticky notes, erasers, markers). Have students indicate by hand signal (</w:t>
            </w:r>
            <w:r w:rsidR="00AD7886">
              <w:rPr>
                <w:rFonts w:ascii="Times" w:hAnsi="Times"/>
                <w:color w:val="000000"/>
              </w:rPr>
              <w:t>thumbs-</w:t>
            </w:r>
            <w:r>
              <w:rPr>
                <w:rFonts w:ascii="Times" w:hAnsi="Times"/>
                <w:color w:val="000000"/>
              </w:rPr>
              <w:t>up</w:t>
            </w:r>
            <w:r w:rsidR="00AD7886">
              <w:rPr>
                <w:rFonts w:ascii="Times" w:hAnsi="Times"/>
                <w:color w:val="000000"/>
              </w:rPr>
              <w:t xml:space="preserve"> [</w:t>
            </w:r>
            <w:r>
              <w:rPr>
                <w:rFonts w:ascii="Times" w:hAnsi="Times"/>
                <w:color w:val="000000"/>
              </w:rPr>
              <w:t>greater</w:t>
            </w:r>
            <w:r w:rsidR="00AD7886">
              <w:rPr>
                <w:rFonts w:ascii="Times" w:hAnsi="Times"/>
                <w:color w:val="000000"/>
              </w:rPr>
              <w:t xml:space="preserve"> than]</w:t>
            </w:r>
            <w:r>
              <w:rPr>
                <w:rFonts w:ascii="Times" w:hAnsi="Times"/>
                <w:color w:val="000000"/>
              </w:rPr>
              <w:t xml:space="preserve">, </w:t>
            </w:r>
            <w:r w:rsidR="00AD7886">
              <w:rPr>
                <w:rFonts w:ascii="Times" w:hAnsi="Times"/>
                <w:color w:val="000000"/>
              </w:rPr>
              <w:t>thumbs-</w:t>
            </w:r>
            <w:r>
              <w:rPr>
                <w:rFonts w:ascii="Times" w:hAnsi="Times"/>
                <w:color w:val="000000"/>
              </w:rPr>
              <w:t>down</w:t>
            </w:r>
            <w:r w:rsidR="00AD7886">
              <w:rPr>
                <w:rFonts w:ascii="Times" w:hAnsi="Times"/>
                <w:color w:val="000000"/>
              </w:rPr>
              <w:t xml:space="preserve"> [</w:t>
            </w:r>
            <w:r>
              <w:rPr>
                <w:rFonts w:ascii="Times" w:hAnsi="Times"/>
                <w:color w:val="000000"/>
              </w:rPr>
              <w:t>less</w:t>
            </w:r>
            <w:r w:rsidR="00AD7886">
              <w:rPr>
                <w:rFonts w:ascii="Times" w:hAnsi="Times"/>
                <w:color w:val="000000"/>
              </w:rPr>
              <w:t xml:space="preserve"> than]</w:t>
            </w:r>
            <w:r>
              <w:rPr>
                <w:rFonts w:ascii="Times" w:hAnsi="Times"/>
                <w:color w:val="000000"/>
              </w:rPr>
              <w:t>, or flat hand</w:t>
            </w:r>
            <w:r w:rsidR="00AD7886">
              <w:rPr>
                <w:rFonts w:ascii="Times" w:hAnsi="Times"/>
                <w:color w:val="000000"/>
              </w:rPr>
              <w:t xml:space="preserve"> [</w:t>
            </w:r>
            <w:r>
              <w:rPr>
                <w:rFonts w:ascii="Times" w:hAnsi="Times"/>
                <w:color w:val="000000"/>
              </w:rPr>
              <w:t>equal</w:t>
            </w:r>
            <w:r w:rsidR="00AD7886">
              <w:rPr>
                <w:rFonts w:ascii="Times" w:hAnsi="Times"/>
                <w:color w:val="000000"/>
              </w:rPr>
              <w:t>]</w:t>
            </w:r>
            <w:r>
              <w:rPr>
                <w:rFonts w:ascii="Times" w:hAnsi="Times"/>
                <w:color w:val="000000"/>
              </w:rPr>
              <w:t xml:space="preserve">) </w:t>
            </w:r>
            <w:r w:rsidR="001F6701">
              <w:rPr>
                <w:rFonts w:ascii="Times" w:hAnsi="Times"/>
                <w:color w:val="000000"/>
              </w:rPr>
              <w:t>which comparative word describes these sets</w:t>
            </w:r>
            <w:r>
              <w:rPr>
                <w:rFonts w:ascii="Times" w:hAnsi="Times"/>
                <w:color w:val="000000"/>
              </w:rPr>
              <w:t>.</w:t>
            </w:r>
          </w:p>
        </w:tc>
        <w:tc>
          <w:tcPr>
            <w:tcW w:w="4117" w:type="dxa"/>
          </w:tcPr>
          <w:p w14:paraId="5D46A3F3" w14:textId="572B2ED0" w:rsidR="00FF546C" w:rsidRPr="009065CE" w:rsidRDefault="001F6701" w:rsidP="006548F0">
            <w:pPr>
              <w:spacing w:after="120"/>
            </w:pPr>
            <w:r>
              <w:rPr>
                <w:rFonts w:ascii="Times" w:hAnsi="Times"/>
                <w:color w:val="000000"/>
              </w:rPr>
              <w:t xml:space="preserve">SE </w:t>
            </w:r>
            <w:r w:rsidR="00AD7886">
              <w:rPr>
                <w:rFonts w:ascii="Times" w:hAnsi="Times"/>
                <w:color w:val="000000"/>
              </w:rPr>
              <w:t xml:space="preserve">will </w:t>
            </w:r>
            <w:r w:rsidR="008222A8">
              <w:rPr>
                <w:rFonts w:ascii="Times" w:hAnsi="Times"/>
                <w:color w:val="000000"/>
              </w:rPr>
              <w:t>make note of students who did not answer correctly to provide remediation.</w:t>
            </w:r>
          </w:p>
        </w:tc>
      </w:tr>
      <w:tr w:rsidR="00F948BF" w14:paraId="5D46A3F9" w14:textId="77777777" w:rsidTr="006548F0">
        <w:tc>
          <w:tcPr>
            <w:tcW w:w="2088" w:type="dxa"/>
          </w:tcPr>
          <w:p w14:paraId="5D46A3F5" w14:textId="77777777" w:rsidR="00F948BF" w:rsidRPr="009065CE" w:rsidRDefault="00F948BF" w:rsidP="00FF546C">
            <w:pPr>
              <w:rPr>
                <w:b/>
              </w:rPr>
            </w:pPr>
            <w:r>
              <w:rPr>
                <w:b/>
              </w:rPr>
              <w:t>Homework</w:t>
            </w:r>
          </w:p>
        </w:tc>
        <w:tc>
          <w:tcPr>
            <w:tcW w:w="2340" w:type="dxa"/>
          </w:tcPr>
          <w:p w14:paraId="5D46A3F6" w14:textId="77777777" w:rsidR="00F948BF" w:rsidRDefault="008222A8" w:rsidP="00FF546C">
            <w:r>
              <w:t>Team Teaching</w:t>
            </w:r>
          </w:p>
        </w:tc>
        <w:tc>
          <w:tcPr>
            <w:tcW w:w="4320" w:type="dxa"/>
          </w:tcPr>
          <w:p w14:paraId="5D46A3F7" w14:textId="77777777" w:rsidR="00953FC7" w:rsidRDefault="008222A8" w:rsidP="006548F0">
            <w:pPr>
              <w:spacing w:after="120"/>
            </w:pPr>
            <w:r>
              <w:rPr>
                <w:rFonts w:ascii="Times" w:hAnsi="Times"/>
                <w:color w:val="000000"/>
              </w:rPr>
              <w:t>Students will be asked to demonstrate and discuss with their family one of the stations they used in class.</w:t>
            </w:r>
          </w:p>
        </w:tc>
        <w:tc>
          <w:tcPr>
            <w:tcW w:w="4117" w:type="dxa"/>
          </w:tcPr>
          <w:p w14:paraId="5D46A3F8" w14:textId="77777777" w:rsidR="00F948BF" w:rsidRDefault="008222A8" w:rsidP="006548F0">
            <w:pPr>
              <w:spacing w:after="120"/>
            </w:pPr>
            <w:r>
              <w:t>Same as GE.</w:t>
            </w:r>
            <w:r w:rsidR="001A6459">
              <w:t xml:space="preserve">  </w:t>
            </w:r>
          </w:p>
        </w:tc>
      </w:tr>
    </w:tbl>
    <w:p w14:paraId="5D46A3FC" w14:textId="38082091" w:rsidR="00476E09" w:rsidRDefault="00476E09" w:rsidP="006548F0">
      <w:pPr>
        <w:pStyle w:val="Heading2"/>
        <w:spacing w:before="240"/>
      </w:pPr>
      <w:r>
        <w:t>Specially Designed Instruction</w:t>
      </w:r>
    </w:p>
    <w:p w14:paraId="2AD630EC" w14:textId="2FDB6B94" w:rsidR="00313887" w:rsidRPr="00313887" w:rsidRDefault="00313887" w:rsidP="00313887">
      <w:pPr>
        <w:pStyle w:val="ListParagraph"/>
        <w:numPr>
          <w:ilvl w:val="0"/>
          <w:numId w:val="26"/>
        </w:numPr>
      </w:pPr>
      <w:r>
        <w:t>Use manipulatives and visuals when counting with one to one correspondence and with comparing sets.</w:t>
      </w:r>
    </w:p>
    <w:p w14:paraId="5D46A403" w14:textId="7A13F96E" w:rsidR="00476E09" w:rsidRPr="00A058B4" w:rsidRDefault="00476E09" w:rsidP="006548F0">
      <w:pPr>
        <w:pStyle w:val="Heading2"/>
        <w:spacing w:before="240"/>
      </w:pPr>
      <w:r>
        <w:t>Accommodations</w:t>
      </w:r>
    </w:p>
    <w:p w14:paraId="5D46A404" w14:textId="40453271" w:rsidR="00A41995" w:rsidRPr="00A41995" w:rsidRDefault="00A41995" w:rsidP="00A41995">
      <w:pPr>
        <w:pStyle w:val="ListParagraph"/>
        <w:numPr>
          <w:ilvl w:val="0"/>
          <w:numId w:val="22"/>
        </w:numPr>
        <w:rPr>
          <w:rFonts w:ascii="Times" w:eastAsia="Times" w:hAnsi="Times" w:cs="Times"/>
          <w:kern w:val="0"/>
          <w:lang w:eastAsia="en-US"/>
        </w:rPr>
      </w:pPr>
      <w:r w:rsidRPr="00A41995">
        <w:rPr>
          <w:rFonts w:ascii="Times" w:eastAsia="Times" w:hAnsi="Times" w:cs="Times"/>
        </w:rPr>
        <w:t xml:space="preserve">Provide students with </w:t>
      </w:r>
      <w:r w:rsidR="00E57A4C">
        <w:rPr>
          <w:rFonts w:ascii="Times" w:eastAsia="Times" w:hAnsi="Times" w:cs="Times"/>
        </w:rPr>
        <w:t xml:space="preserve">a </w:t>
      </w:r>
      <w:r w:rsidRPr="00A41995">
        <w:rPr>
          <w:rFonts w:ascii="Times" w:eastAsia="Times" w:hAnsi="Times" w:cs="Times"/>
        </w:rPr>
        <w:t xml:space="preserve">120 board as a visual reference. </w:t>
      </w:r>
    </w:p>
    <w:p w14:paraId="5D46A405" w14:textId="6B54D8E2" w:rsidR="00A41995" w:rsidRPr="00A41995" w:rsidRDefault="00A41995" w:rsidP="00A41995">
      <w:pPr>
        <w:pStyle w:val="ListParagraph"/>
        <w:numPr>
          <w:ilvl w:val="0"/>
          <w:numId w:val="22"/>
        </w:numPr>
        <w:rPr>
          <w:rFonts w:ascii="Times" w:eastAsia="Times" w:hAnsi="Times" w:cs="Times"/>
          <w:kern w:val="0"/>
          <w:lang w:eastAsia="en-US"/>
        </w:rPr>
      </w:pPr>
      <w:r>
        <w:rPr>
          <w:rFonts w:ascii="Times" w:eastAsia="Times" w:hAnsi="Times" w:cs="Times"/>
        </w:rPr>
        <w:t xml:space="preserve">For students with visual impairment, </w:t>
      </w:r>
      <w:r w:rsidR="00E57A4C">
        <w:rPr>
          <w:rFonts w:ascii="Times" w:eastAsia="Times" w:hAnsi="Times" w:cs="Times"/>
        </w:rPr>
        <w:t xml:space="preserve">use </w:t>
      </w:r>
      <w:r>
        <w:rPr>
          <w:rFonts w:ascii="Times" w:eastAsia="Times" w:hAnsi="Times" w:cs="Times"/>
        </w:rPr>
        <w:t>tactile number cards for the independent center.</w:t>
      </w:r>
    </w:p>
    <w:p w14:paraId="5D46A406" w14:textId="311153E8" w:rsidR="00A41995" w:rsidRPr="00A41995" w:rsidRDefault="00A41995" w:rsidP="00A41995">
      <w:pPr>
        <w:pStyle w:val="ListParagraph"/>
        <w:numPr>
          <w:ilvl w:val="0"/>
          <w:numId w:val="22"/>
        </w:numPr>
        <w:rPr>
          <w:rFonts w:ascii="Times" w:eastAsia="Times" w:hAnsi="Times" w:cs="Times"/>
          <w:kern w:val="0"/>
          <w:lang w:eastAsia="en-US"/>
        </w:rPr>
      </w:pPr>
      <w:r w:rsidRPr="00A41995">
        <w:rPr>
          <w:rFonts w:ascii="Times" w:eastAsia="Times" w:hAnsi="Times" w:cs="Times"/>
        </w:rPr>
        <w:t>Use flexible seating to increase student engagement.</w:t>
      </w:r>
    </w:p>
    <w:p w14:paraId="5D46A407" w14:textId="00CCC43A" w:rsidR="00A41995" w:rsidRPr="00A41995" w:rsidRDefault="00E57A4C" w:rsidP="00A41995">
      <w:pPr>
        <w:pStyle w:val="ListParagraph"/>
        <w:numPr>
          <w:ilvl w:val="0"/>
          <w:numId w:val="22"/>
        </w:numPr>
        <w:rPr>
          <w:rFonts w:ascii="Times" w:eastAsia="Times" w:hAnsi="Times" w:cs="Times"/>
          <w:kern w:val="0"/>
          <w:lang w:eastAsia="en-US"/>
        </w:rPr>
      </w:pPr>
      <w:r>
        <w:rPr>
          <w:rFonts w:ascii="Times" w:eastAsia="Times" w:hAnsi="Times" w:cs="Times"/>
        </w:rPr>
        <w:t>Use noise</w:t>
      </w:r>
      <w:r w:rsidR="00A41995" w:rsidRPr="00A41995">
        <w:rPr>
          <w:rFonts w:ascii="Times" w:eastAsia="Times" w:hAnsi="Times" w:cs="Times"/>
        </w:rPr>
        <w:t>-reducing headphones during station teaching</w:t>
      </w:r>
      <w:r>
        <w:rPr>
          <w:rFonts w:ascii="Times" w:eastAsia="Times" w:hAnsi="Times" w:cs="Times"/>
        </w:rPr>
        <w:t>.</w:t>
      </w:r>
    </w:p>
    <w:p w14:paraId="5D46A408" w14:textId="563EFEB0" w:rsidR="00A41995" w:rsidRDefault="00A41995" w:rsidP="008A59C4">
      <w:pPr>
        <w:pStyle w:val="Bullet1"/>
        <w:numPr>
          <w:ilvl w:val="0"/>
          <w:numId w:val="22"/>
        </w:numPr>
        <w:spacing w:after="0" w:line="240" w:lineRule="auto"/>
        <w:rPr>
          <w:rFonts w:ascii="Times New Roman" w:hAnsi="Times New Roman" w:cs="Times New Roman"/>
          <w:sz w:val="24"/>
          <w:szCs w:val="24"/>
        </w:rPr>
      </w:pPr>
      <w:r w:rsidRPr="00966E7E">
        <w:rPr>
          <w:rFonts w:ascii="Times New Roman" w:hAnsi="Times New Roman" w:cs="Times New Roman"/>
          <w:sz w:val="24"/>
          <w:szCs w:val="24"/>
        </w:rPr>
        <w:t>Use concrete manipulatives/objects</w:t>
      </w:r>
      <w:r w:rsidR="00E57A4C">
        <w:rPr>
          <w:rFonts w:ascii="Times New Roman" w:hAnsi="Times New Roman" w:cs="Times New Roman"/>
          <w:sz w:val="24"/>
          <w:szCs w:val="24"/>
        </w:rPr>
        <w:t>.</w:t>
      </w:r>
    </w:p>
    <w:p w14:paraId="49BD8326" w14:textId="279188E3" w:rsidR="006548F0" w:rsidRPr="006548F0" w:rsidRDefault="000F2052" w:rsidP="006548F0">
      <w:pPr>
        <w:pStyle w:val="ListParagraph"/>
        <w:widowControl/>
        <w:numPr>
          <w:ilvl w:val="0"/>
          <w:numId w:val="22"/>
        </w:numPr>
        <w:rPr>
          <w:rFonts w:asciiTheme="minorHAnsi" w:eastAsia="Times New Roman" w:hAnsiTheme="minorHAnsi" w:cstheme="minorHAnsi"/>
          <w:kern w:val="0"/>
          <w:lang w:eastAsia="en-US" w:bidi="en-US"/>
        </w:rPr>
      </w:pPr>
      <w:r>
        <w:t>The number</w:t>
      </w:r>
      <w:r w:rsidR="006548F0">
        <w:t xml:space="preserve"> of activities that a particular st</w:t>
      </w:r>
      <w:r w:rsidR="00F91C64">
        <w:t>udent completes can be reduced</w:t>
      </w:r>
      <w:r w:rsidR="006548F0">
        <w:t xml:space="preserve"> according to student needs/IEP.</w:t>
      </w:r>
    </w:p>
    <w:p w14:paraId="5D46A40A" w14:textId="3DB4A6E3" w:rsidR="00476E09" w:rsidRDefault="00476E09" w:rsidP="006548F0">
      <w:pPr>
        <w:pStyle w:val="Heading2"/>
        <w:spacing w:before="240"/>
      </w:pPr>
      <w:r>
        <w:t>Modifications</w:t>
      </w:r>
    </w:p>
    <w:p w14:paraId="7CD12B0C" w14:textId="77777777" w:rsidR="006548F0" w:rsidRPr="006548F0" w:rsidRDefault="006548F0" w:rsidP="006548F0">
      <w:pPr>
        <w:pStyle w:val="ListParagraph"/>
        <w:numPr>
          <w:ilvl w:val="0"/>
          <w:numId w:val="21"/>
        </w:numPr>
        <w:rPr>
          <w:rFonts w:ascii="Times" w:eastAsia="Times" w:hAnsi="Times" w:cs="Times"/>
          <w:kern w:val="0"/>
          <w:lang w:eastAsia="en-US"/>
        </w:rPr>
      </w:pPr>
      <w:r>
        <w:rPr>
          <w:rFonts w:ascii="Times" w:eastAsia="Times" w:hAnsi="Times" w:cs="Times"/>
        </w:rPr>
        <w:t xml:space="preserve">For those student requiring a modified curriculum, Station 2 </w:t>
      </w:r>
      <w:r w:rsidRPr="00A41995">
        <w:rPr>
          <w:rFonts w:ascii="Times" w:eastAsia="Times" w:hAnsi="Times" w:cs="Times"/>
        </w:rPr>
        <w:t>can be modified so that students are only ordering two sets from least to greates</w:t>
      </w:r>
      <w:r>
        <w:rPr>
          <w:rFonts w:ascii="Times" w:eastAsia="Times" w:hAnsi="Times" w:cs="Times"/>
        </w:rPr>
        <w:t>t, instead of three sets</w:t>
      </w:r>
      <w:r w:rsidRPr="00A41995">
        <w:rPr>
          <w:rFonts w:ascii="Times" w:eastAsia="Times" w:hAnsi="Times" w:cs="Times"/>
        </w:rPr>
        <w:t>.</w:t>
      </w:r>
      <w:r>
        <w:rPr>
          <w:rFonts w:ascii="Times" w:eastAsia="Times" w:hAnsi="Times" w:cs="Times"/>
        </w:rPr>
        <w:t xml:space="preserve"> </w:t>
      </w:r>
    </w:p>
    <w:p w14:paraId="182D43E7" w14:textId="2BBE6FA1" w:rsidR="006548F0" w:rsidRPr="006548F0" w:rsidRDefault="006548F0" w:rsidP="006548F0">
      <w:pPr>
        <w:pStyle w:val="ListParagraph"/>
        <w:numPr>
          <w:ilvl w:val="0"/>
          <w:numId w:val="21"/>
        </w:numPr>
      </w:pPr>
      <w:r>
        <w:rPr>
          <w:rFonts w:ascii="Times" w:eastAsia="Times" w:hAnsi="Times" w:cs="Times"/>
        </w:rPr>
        <w:t>In Station 1, differentiate numbers used according to student skill level, especially for those students who may have a limited repertoire of numeral knowledge.</w:t>
      </w:r>
      <w:r w:rsidRPr="006548F0">
        <w:rPr>
          <w:rFonts w:ascii="Times" w:eastAsia="Times" w:hAnsi="Times" w:cs="Times"/>
        </w:rPr>
        <w:t xml:space="preserve"> </w:t>
      </w:r>
    </w:p>
    <w:p w14:paraId="5D46A40D" w14:textId="77777777" w:rsidR="00476E09" w:rsidRDefault="00476E09" w:rsidP="006548F0">
      <w:pPr>
        <w:pStyle w:val="Heading2"/>
        <w:spacing w:before="240"/>
      </w:pPr>
      <w:r>
        <w:t>Notes</w:t>
      </w:r>
    </w:p>
    <w:p w14:paraId="7EB9D117" w14:textId="3BE9073E" w:rsidR="00E145C2" w:rsidRPr="00F544E6" w:rsidRDefault="00E145C2" w:rsidP="00E145C2">
      <w:pPr>
        <w:pStyle w:val="NormalWeb"/>
        <w:numPr>
          <w:ilvl w:val="0"/>
          <w:numId w:val="17"/>
        </w:numPr>
        <w:spacing w:before="0" w:beforeAutospacing="0" w:after="0" w:afterAutospacing="0"/>
        <w:textAlignment w:val="baseline"/>
        <w:rPr>
          <w:rFonts w:ascii="Courier New" w:hAnsi="Courier New" w:cs="Courier New"/>
          <w:color w:val="000000"/>
        </w:rPr>
      </w:pPr>
      <w:r>
        <w:rPr>
          <w:color w:val="000000"/>
        </w:rPr>
        <w:t xml:space="preserve">“Special educator” as noted in </w:t>
      </w:r>
      <w:r w:rsidR="00F544E6">
        <w:rPr>
          <w:color w:val="000000"/>
        </w:rPr>
        <w:t>this lesson plan might be an EL</w:t>
      </w:r>
      <w:r>
        <w:rPr>
          <w:color w:val="000000"/>
        </w:rPr>
        <w:t xml:space="preserve"> teacher, speech pathologist, or other specialist co-teaching with a general educator.</w:t>
      </w:r>
    </w:p>
    <w:p w14:paraId="75C7B880" w14:textId="09FE04AF" w:rsidR="00F544E6" w:rsidRDefault="00F544E6" w:rsidP="00F544E6">
      <w:pPr>
        <w:pStyle w:val="NormalWeb"/>
        <w:spacing w:before="0" w:beforeAutospacing="0" w:after="0" w:afterAutospacing="0"/>
        <w:textAlignment w:val="baseline"/>
        <w:rPr>
          <w:color w:val="000000"/>
        </w:rPr>
      </w:pPr>
    </w:p>
    <w:p w14:paraId="2EEE0A32" w14:textId="77777777" w:rsidR="004766E5" w:rsidRDefault="004766E5" w:rsidP="006548F0"/>
    <w:p w14:paraId="5D46A417" w14:textId="4B80BFE0" w:rsidR="00B95AE8" w:rsidRDefault="00476E09" w:rsidP="006548F0">
      <w:r w:rsidRPr="00476E09">
        <w:t>Virginia Department of Education</w:t>
      </w:r>
      <w:r w:rsidR="00E57A4C">
        <w:t xml:space="preserve"> </w:t>
      </w:r>
      <w:r w:rsidRPr="00476E09">
        <w:t>©</w:t>
      </w:r>
      <w:r w:rsidR="00E57A4C">
        <w:t xml:space="preserve"> </w:t>
      </w:r>
      <w:r w:rsidR="00E57A4C" w:rsidRPr="00476E09">
        <w:t>201</w:t>
      </w:r>
      <w:r w:rsidR="00E57A4C" w:rsidRPr="00E57A4C">
        <w:t>8</w:t>
      </w:r>
    </w:p>
    <w:sectPr w:rsidR="00B95AE8" w:rsidSect="006548F0">
      <w:footerReference w:type="default" r:id="rId10"/>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581E" w14:textId="77777777" w:rsidR="00FE6F6E" w:rsidRDefault="00FE6F6E" w:rsidP="00774BF2">
      <w:r>
        <w:separator/>
      </w:r>
    </w:p>
  </w:endnote>
  <w:endnote w:type="continuationSeparator" w:id="0">
    <w:p w14:paraId="672093BD" w14:textId="77777777" w:rsidR="00FE6F6E" w:rsidRDefault="00FE6F6E"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A41C" w14:textId="77777777" w:rsidR="00E70FC2" w:rsidRDefault="00E70FC2">
    <w:pPr>
      <w:pStyle w:val="Footer"/>
    </w:pPr>
  </w:p>
  <w:p w14:paraId="5D46A41D" w14:textId="77777777" w:rsidR="00E70FC2" w:rsidRDefault="00E70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FD48" w14:textId="77777777" w:rsidR="00FE6F6E" w:rsidRDefault="00FE6F6E" w:rsidP="00774BF2">
      <w:r>
        <w:separator/>
      </w:r>
    </w:p>
  </w:footnote>
  <w:footnote w:type="continuationSeparator" w:id="0">
    <w:p w14:paraId="24DB1F48" w14:textId="77777777" w:rsidR="00FE6F6E" w:rsidRDefault="00FE6F6E" w:rsidP="0077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585"/>
    <w:multiLevelType w:val="hybridMultilevel"/>
    <w:tmpl w:val="0D34D436"/>
    <w:lvl w:ilvl="0" w:tplc="BDC6C3EE">
      <w:start w:val="2"/>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26B5A"/>
    <w:multiLevelType w:val="hybridMultilevel"/>
    <w:tmpl w:val="2762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D27CA"/>
    <w:multiLevelType w:val="hybridMultilevel"/>
    <w:tmpl w:val="6DE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60280"/>
    <w:multiLevelType w:val="hybridMultilevel"/>
    <w:tmpl w:val="304A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5EB47D13"/>
    <w:multiLevelType w:val="hybridMultilevel"/>
    <w:tmpl w:val="2E9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61E33C8"/>
    <w:multiLevelType w:val="hybridMultilevel"/>
    <w:tmpl w:val="8FEA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8"/>
  </w:num>
  <w:num w:numId="5">
    <w:abstractNumId w:val="10"/>
  </w:num>
  <w:num w:numId="6">
    <w:abstractNumId w:val="14"/>
  </w:num>
  <w:num w:numId="7">
    <w:abstractNumId w:val="7"/>
  </w:num>
  <w:num w:numId="8">
    <w:abstractNumId w:val="20"/>
  </w:num>
  <w:num w:numId="9">
    <w:abstractNumId w:val="21"/>
  </w:num>
  <w:num w:numId="10">
    <w:abstractNumId w:val="3"/>
  </w:num>
  <w:num w:numId="11">
    <w:abstractNumId w:val="23"/>
  </w:num>
  <w:num w:numId="12">
    <w:abstractNumId w:val="19"/>
  </w:num>
  <w:num w:numId="13">
    <w:abstractNumId w:val="22"/>
  </w:num>
  <w:num w:numId="14">
    <w:abstractNumId w:val="2"/>
  </w:num>
  <w:num w:numId="15">
    <w:abstractNumId w:val="18"/>
  </w:num>
  <w:num w:numId="16">
    <w:abstractNumId w:val="9"/>
  </w:num>
  <w:num w:numId="17">
    <w:abstractNumId w:val="17"/>
  </w:num>
  <w:num w:numId="18">
    <w:abstractNumId w:val="9"/>
  </w:num>
  <w:num w:numId="19">
    <w:abstractNumId w:val="12"/>
  </w:num>
  <w:num w:numId="20">
    <w:abstractNumId w:val="4"/>
  </w:num>
  <w:num w:numId="21">
    <w:abstractNumId w:val="5"/>
  </w:num>
  <w:num w:numId="22">
    <w:abstractNumId w:val="0"/>
  </w:num>
  <w:num w:numId="23">
    <w:abstractNumId w:val="6"/>
  </w:num>
  <w:num w:numId="24">
    <w:abstractNumId w:val="16"/>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78"/>
    <w:rsid w:val="000106CD"/>
    <w:rsid w:val="00017C9C"/>
    <w:rsid w:val="000A3549"/>
    <w:rsid w:val="000A55A3"/>
    <w:rsid w:val="000C6E68"/>
    <w:rsid w:val="000D12F4"/>
    <w:rsid w:val="000F2052"/>
    <w:rsid w:val="00103A14"/>
    <w:rsid w:val="00115633"/>
    <w:rsid w:val="00121F8F"/>
    <w:rsid w:val="00136373"/>
    <w:rsid w:val="001451D0"/>
    <w:rsid w:val="00151D52"/>
    <w:rsid w:val="00152131"/>
    <w:rsid w:val="00153BA3"/>
    <w:rsid w:val="001558CB"/>
    <w:rsid w:val="0018083C"/>
    <w:rsid w:val="00182F36"/>
    <w:rsid w:val="001A0274"/>
    <w:rsid w:val="001A44FF"/>
    <w:rsid w:val="001A6459"/>
    <w:rsid w:val="001A7CA5"/>
    <w:rsid w:val="001D5D44"/>
    <w:rsid w:val="001F6701"/>
    <w:rsid w:val="002045A4"/>
    <w:rsid w:val="00222410"/>
    <w:rsid w:val="00247EB9"/>
    <w:rsid w:val="00252680"/>
    <w:rsid w:val="002562B6"/>
    <w:rsid w:val="0025660F"/>
    <w:rsid w:val="002645C4"/>
    <w:rsid w:val="00271DEA"/>
    <w:rsid w:val="002A1B95"/>
    <w:rsid w:val="002C2E1A"/>
    <w:rsid w:val="0030291A"/>
    <w:rsid w:val="00313887"/>
    <w:rsid w:val="00335572"/>
    <w:rsid w:val="00351F39"/>
    <w:rsid w:val="00354FC9"/>
    <w:rsid w:val="00376092"/>
    <w:rsid w:val="003909E4"/>
    <w:rsid w:val="00390AA9"/>
    <w:rsid w:val="00395C7D"/>
    <w:rsid w:val="003B49F3"/>
    <w:rsid w:val="003B4D66"/>
    <w:rsid w:val="003B564E"/>
    <w:rsid w:val="003B7C4E"/>
    <w:rsid w:val="003C48C8"/>
    <w:rsid w:val="003C4B57"/>
    <w:rsid w:val="003D0237"/>
    <w:rsid w:val="003E61FC"/>
    <w:rsid w:val="00446683"/>
    <w:rsid w:val="00456996"/>
    <w:rsid w:val="00465B1A"/>
    <w:rsid w:val="004766E5"/>
    <w:rsid w:val="00476E09"/>
    <w:rsid w:val="00497B6F"/>
    <w:rsid w:val="004A0B0A"/>
    <w:rsid w:val="004A0D6D"/>
    <w:rsid w:val="004A2F8D"/>
    <w:rsid w:val="004C28B8"/>
    <w:rsid w:val="004D0D3F"/>
    <w:rsid w:val="004F14BD"/>
    <w:rsid w:val="004F324C"/>
    <w:rsid w:val="00500BAA"/>
    <w:rsid w:val="005066DE"/>
    <w:rsid w:val="0051783C"/>
    <w:rsid w:val="00545D4A"/>
    <w:rsid w:val="005514B5"/>
    <w:rsid w:val="00562831"/>
    <w:rsid w:val="00572C2B"/>
    <w:rsid w:val="005803DA"/>
    <w:rsid w:val="00586693"/>
    <w:rsid w:val="00586A2C"/>
    <w:rsid w:val="005B4B93"/>
    <w:rsid w:val="005C3594"/>
    <w:rsid w:val="005D3424"/>
    <w:rsid w:val="005E5328"/>
    <w:rsid w:val="006453B3"/>
    <w:rsid w:val="006548F0"/>
    <w:rsid w:val="0065543F"/>
    <w:rsid w:val="00660634"/>
    <w:rsid w:val="0066327C"/>
    <w:rsid w:val="006735E2"/>
    <w:rsid w:val="0067749F"/>
    <w:rsid w:val="00693AED"/>
    <w:rsid w:val="006B0ACD"/>
    <w:rsid w:val="00716943"/>
    <w:rsid w:val="00720A4E"/>
    <w:rsid w:val="00774BF2"/>
    <w:rsid w:val="00784AFD"/>
    <w:rsid w:val="007A13D7"/>
    <w:rsid w:val="007A3078"/>
    <w:rsid w:val="007C26A5"/>
    <w:rsid w:val="007D30B6"/>
    <w:rsid w:val="007E2E92"/>
    <w:rsid w:val="007E68DB"/>
    <w:rsid w:val="00805F3D"/>
    <w:rsid w:val="008222A8"/>
    <w:rsid w:val="0083684E"/>
    <w:rsid w:val="00855854"/>
    <w:rsid w:val="008612BE"/>
    <w:rsid w:val="00867493"/>
    <w:rsid w:val="00884101"/>
    <w:rsid w:val="00885417"/>
    <w:rsid w:val="008A59C4"/>
    <w:rsid w:val="008C2ACB"/>
    <w:rsid w:val="008C69AA"/>
    <w:rsid w:val="008D785B"/>
    <w:rsid w:val="008E6DAD"/>
    <w:rsid w:val="008E77A6"/>
    <w:rsid w:val="008F07A5"/>
    <w:rsid w:val="00902DE3"/>
    <w:rsid w:val="009065CE"/>
    <w:rsid w:val="00916069"/>
    <w:rsid w:val="00931D19"/>
    <w:rsid w:val="009341F0"/>
    <w:rsid w:val="00935287"/>
    <w:rsid w:val="009424CC"/>
    <w:rsid w:val="00942605"/>
    <w:rsid w:val="00952FDA"/>
    <w:rsid w:val="00953ED4"/>
    <w:rsid w:val="00953FC7"/>
    <w:rsid w:val="00960463"/>
    <w:rsid w:val="00965536"/>
    <w:rsid w:val="00966E7E"/>
    <w:rsid w:val="00966FDA"/>
    <w:rsid w:val="00975DE5"/>
    <w:rsid w:val="00976105"/>
    <w:rsid w:val="00987C0C"/>
    <w:rsid w:val="009A16DF"/>
    <w:rsid w:val="009E62B1"/>
    <w:rsid w:val="00A01CEC"/>
    <w:rsid w:val="00A058B4"/>
    <w:rsid w:val="00A312B0"/>
    <w:rsid w:val="00A323D8"/>
    <w:rsid w:val="00A355D4"/>
    <w:rsid w:val="00A36C22"/>
    <w:rsid w:val="00A41995"/>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D7886"/>
    <w:rsid w:val="00AD7E5F"/>
    <w:rsid w:val="00AE0361"/>
    <w:rsid w:val="00AE2C0E"/>
    <w:rsid w:val="00AE44C4"/>
    <w:rsid w:val="00AF35C6"/>
    <w:rsid w:val="00B0468B"/>
    <w:rsid w:val="00B22882"/>
    <w:rsid w:val="00B22983"/>
    <w:rsid w:val="00B32A5F"/>
    <w:rsid w:val="00B32D2A"/>
    <w:rsid w:val="00B4278B"/>
    <w:rsid w:val="00B55B18"/>
    <w:rsid w:val="00B55D67"/>
    <w:rsid w:val="00B67FBF"/>
    <w:rsid w:val="00B730AF"/>
    <w:rsid w:val="00B95AE8"/>
    <w:rsid w:val="00B95BE3"/>
    <w:rsid w:val="00B96418"/>
    <w:rsid w:val="00BA4F2C"/>
    <w:rsid w:val="00BF046F"/>
    <w:rsid w:val="00BF32C3"/>
    <w:rsid w:val="00C06B7A"/>
    <w:rsid w:val="00C13064"/>
    <w:rsid w:val="00C478E7"/>
    <w:rsid w:val="00C50389"/>
    <w:rsid w:val="00C54491"/>
    <w:rsid w:val="00C60F96"/>
    <w:rsid w:val="00C65A0A"/>
    <w:rsid w:val="00C70E99"/>
    <w:rsid w:val="00C805FA"/>
    <w:rsid w:val="00C9350C"/>
    <w:rsid w:val="00CB3241"/>
    <w:rsid w:val="00CC12F5"/>
    <w:rsid w:val="00CC6596"/>
    <w:rsid w:val="00CD2C60"/>
    <w:rsid w:val="00CE6CE9"/>
    <w:rsid w:val="00CF2234"/>
    <w:rsid w:val="00D03428"/>
    <w:rsid w:val="00D073E0"/>
    <w:rsid w:val="00D11590"/>
    <w:rsid w:val="00D36B6B"/>
    <w:rsid w:val="00D50FB1"/>
    <w:rsid w:val="00D561CF"/>
    <w:rsid w:val="00D953F1"/>
    <w:rsid w:val="00DC34B1"/>
    <w:rsid w:val="00DE7C23"/>
    <w:rsid w:val="00E145C2"/>
    <w:rsid w:val="00E178BF"/>
    <w:rsid w:val="00E300A8"/>
    <w:rsid w:val="00E3045B"/>
    <w:rsid w:val="00E40032"/>
    <w:rsid w:val="00E45A8B"/>
    <w:rsid w:val="00E57A4C"/>
    <w:rsid w:val="00E70FC2"/>
    <w:rsid w:val="00E758AB"/>
    <w:rsid w:val="00E77516"/>
    <w:rsid w:val="00E83807"/>
    <w:rsid w:val="00EA1319"/>
    <w:rsid w:val="00ED012E"/>
    <w:rsid w:val="00ED2A25"/>
    <w:rsid w:val="00EF1E8E"/>
    <w:rsid w:val="00F14257"/>
    <w:rsid w:val="00F1433B"/>
    <w:rsid w:val="00F44FAD"/>
    <w:rsid w:val="00F468B2"/>
    <w:rsid w:val="00F52057"/>
    <w:rsid w:val="00F544E6"/>
    <w:rsid w:val="00F57421"/>
    <w:rsid w:val="00F91C64"/>
    <w:rsid w:val="00F948BF"/>
    <w:rsid w:val="00FB0DF8"/>
    <w:rsid w:val="00FB3BB6"/>
    <w:rsid w:val="00FC2EF8"/>
    <w:rsid w:val="00FD3D3E"/>
    <w:rsid w:val="00FE6F6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46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8C69AA"/>
    <w:pPr>
      <w:widowControl/>
      <w:spacing w:before="100" w:beforeAutospacing="1" w:after="100" w:afterAutospacing="1"/>
    </w:pPr>
    <w:rPr>
      <w:rFonts w:eastAsia="Times New Roman"/>
      <w:kern w:val="0"/>
      <w:lang w:eastAsia="en-US"/>
    </w:rPr>
  </w:style>
  <w:style w:type="character" w:customStyle="1" w:styleId="UnresolvedMention">
    <w:name w:val="Unresolved Mention"/>
    <w:basedOn w:val="DefaultParagraphFont"/>
    <w:uiPriority w:val="99"/>
    <w:semiHidden/>
    <w:unhideWhenUsed/>
    <w:rsid w:val="00FC2EF8"/>
    <w:rPr>
      <w:color w:val="808080"/>
      <w:shd w:val="clear" w:color="auto" w:fill="E6E6E6"/>
    </w:rPr>
  </w:style>
  <w:style w:type="character" w:styleId="FollowedHyperlink">
    <w:name w:val="FollowedHyperlink"/>
    <w:basedOn w:val="DefaultParagraphFont"/>
    <w:uiPriority w:val="99"/>
    <w:semiHidden/>
    <w:unhideWhenUsed/>
    <w:rsid w:val="006548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8C69AA"/>
    <w:pPr>
      <w:widowControl/>
      <w:spacing w:before="100" w:beforeAutospacing="1" w:after="100" w:afterAutospacing="1"/>
    </w:pPr>
    <w:rPr>
      <w:rFonts w:eastAsia="Times New Roman"/>
      <w:kern w:val="0"/>
      <w:lang w:eastAsia="en-US"/>
    </w:rPr>
  </w:style>
  <w:style w:type="character" w:customStyle="1" w:styleId="UnresolvedMention">
    <w:name w:val="Unresolved Mention"/>
    <w:basedOn w:val="DefaultParagraphFont"/>
    <w:uiPriority w:val="99"/>
    <w:semiHidden/>
    <w:unhideWhenUsed/>
    <w:rsid w:val="00FC2EF8"/>
    <w:rPr>
      <w:color w:val="808080"/>
      <w:shd w:val="clear" w:color="auto" w:fill="E6E6E6"/>
    </w:rPr>
  </w:style>
  <w:style w:type="character" w:styleId="FollowedHyperlink">
    <w:name w:val="FollowedHyperlink"/>
    <w:basedOn w:val="DefaultParagraphFont"/>
    <w:uiPriority w:val="99"/>
    <w:semiHidden/>
    <w:unhideWhenUsed/>
    <w:rsid w:val="00654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741">
      <w:bodyDiv w:val="1"/>
      <w:marLeft w:val="0"/>
      <w:marRight w:val="0"/>
      <w:marTop w:val="0"/>
      <w:marBottom w:val="0"/>
      <w:divBdr>
        <w:top w:val="none" w:sz="0" w:space="0" w:color="auto"/>
        <w:left w:val="none" w:sz="0" w:space="0" w:color="auto"/>
        <w:bottom w:val="none" w:sz="0" w:space="0" w:color="auto"/>
        <w:right w:val="none" w:sz="0" w:space="0" w:color="auto"/>
      </w:divBdr>
    </w:div>
    <w:div w:id="186988967">
      <w:bodyDiv w:val="1"/>
      <w:marLeft w:val="0"/>
      <w:marRight w:val="0"/>
      <w:marTop w:val="0"/>
      <w:marBottom w:val="0"/>
      <w:divBdr>
        <w:top w:val="none" w:sz="0" w:space="0" w:color="auto"/>
        <w:left w:val="none" w:sz="0" w:space="0" w:color="auto"/>
        <w:bottom w:val="none" w:sz="0" w:space="0" w:color="auto"/>
        <w:right w:val="none" w:sz="0" w:space="0" w:color="auto"/>
      </w:divBdr>
    </w:div>
    <w:div w:id="331185354">
      <w:bodyDiv w:val="1"/>
      <w:marLeft w:val="0"/>
      <w:marRight w:val="0"/>
      <w:marTop w:val="0"/>
      <w:marBottom w:val="0"/>
      <w:divBdr>
        <w:top w:val="none" w:sz="0" w:space="0" w:color="auto"/>
        <w:left w:val="none" w:sz="0" w:space="0" w:color="auto"/>
        <w:bottom w:val="none" w:sz="0" w:space="0" w:color="auto"/>
        <w:right w:val="none" w:sz="0" w:space="0" w:color="auto"/>
      </w:divBdr>
    </w:div>
    <w:div w:id="504244679">
      <w:bodyDiv w:val="1"/>
      <w:marLeft w:val="0"/>
      <w:marRight w:val="0"/>
      <w:marTop w:val="0"/>
      <w:marBottom w:val="0"/>
      <w:divBdr>
        <w:top w:val="none" w:sz="0" w:space="0" w:color="auto"/>
        <w:left w:val="none" w:sz="0" w:space="0" w:color="auto"/>
        <w:bottom w:val="none" w:sz="0" w:space="0" w:color="auto"/>
        <w:right w:val="none" w:sz="0" w:space="0" w:color="auto"/>
      </w:divBdr>
      <w:divsChild>
        <w:div w:id="1513570379">
          <w:marLeft w:val="-115"/>
          <w:marRight w:val="0"/>
          <w:marTop w:val="0"/>
          <w:marBottom w:val="0"/>
          <w:divBdr>
            <w:top w:val="none" w:sz="0" w:space="0" w:color="auto"/>
            <w:left w:val="none" w:sz="0" w:space="0" w:color="auto"/>
            <w:bottom w:val="none" w:sz="0" w:space="0" w:color="auto"/>
            <w:right w:val="none" w:sz="0" w:space="0" w:color="auto"/>
          </w:divBdr>
        </w:div>
      </w:divsChild>
    </w:div>
    <w:div w:id="568424381">
      <w:bodyDiv w:val="1"/>
      <w:marLeft w:val="0"/>
      <w:marRight w:val="0"/>
      <w:marTop w:val="0"/>
      <w:marBottom w:val="0"/>
      <w:divBdr>
        <w:top w:val="none" w:sz="0" w:space="0" w:color="auto"/>
        <w:left w:val="none" w:sz="0" w:space="0" w:color="auto"/>
        <w:bottom w:val="none" w:sz="0" w:space="0" w:color="auto"/>
        <w:right w:val="none" w:sz="0" w:space="0" w:color="auto"/>
      </w:divBdr>
    </w:div>
    <w:div w:id="592471185">
      <w:bodyDiv w:val="1"/>
      <w:marLeft w:val="0"/>
      <w:marRight w:val="0"/>
      <w:marTop w:val="0"/>
      <w:marBottom w:val="0"/>
      <w:divBdr>
        <w:top w:val="none" w:sz="0" w:space="0" w:color="auto"/>
        <w:left w:val="none" w:sz="0" w:space="0" w:color="auto"/>
        <w:bottom w:val="none" w:sz="0" w:space="0" w:color="auto"/>
        <w:right w:val="none" w:sz="0" w:space="0" w:color="auto"/>
      </w:divBdr>
    </w:div>
    <w:div w:id="745105918">
      <w:bodyDiv w:val="1"/>
      <w:marLeft w:val="0"/>
      <w:marRight w:val="0"/>
      <w:marTop w:val="0"/>
      <w:marBottom w:val="0"/>
      <w:divBdr>
        <w:top w:val="none" w:sz="0" w:space="0" w:color="auto"/>
        <w:left w:val="none" w:sz="0" w:space="0" w:color="auto"/>
        <w:bottom w:val="none" w:sz="0" w:space="0" w:color="auto"/>
        <w:right w:val="none" w:sz="0" w:space="0" w:color="auto"/>
      </w:divBdr>
    </w:div>
    <w:div w:id="998119772">
      <w:bodyDiv w:val="1"/>
      <w:marLeft w:val="0"/>
      <w:marRight w:val="0"/>
      <w:marTop w:val="0"/>
      <w:marBottom w:val="0"/>
      <w:divBdr>
        <w:top w:val="none" w:sz="0" w:space="0" w:color="auto"/>
        <w:left w:val="none" w:sz="0" w:space="0" w:color="auto"/>
        <w:bottom w:val="none" w:sz="0" w:space="0" w:color="auto"/>
        <w:right w:val="none" w:sz="0" w:space="0" w:color="auto"/>
      </w:divBdr>
    </w:div>
    <w:div w:id="1347558961">
      <w:bodyDiv w:val="1"/>
      <w:marLeft w:val="0"/>
      <w:marRight w:val="0"/>
      <w:marTop w:val="0"/>
      <w:marBottom w:val="0"/>
      <w:divBdr>
        <w:top w:val="none" w:sz="0" w:space="0" w:color="auto"/>
        <w:left w:val="none" w:sz="0" w:space="0" w:color="auto"/>
        <w:bottom w:val="none" w:sz="0" w:space="0" w:color="auto"/>
        <w:right w:val="none" w:sz="0" w:space="0" w:color="auto"/>
      </w:divBdr>
    </w:div>
    <w:div w:id="1404717005">
      <w:bodyDiv w:val="1"/>
      <w:marLeft w:val="0"/>
      <w:marRight w:val="0"/>
      <w:marTop w:val="0"/>
      <w:marBottom w:val="0"/>
      <w:divBdr>
        <w:top w:val="none" w:sz="0" w:space="0" w:color="auto"/>
        <w:left w:val="none" w:sz="0" w:space="0" w:color="auto"/>
        <w:bottom w:val="none" w:sz="0" w:space="0" w:color="auto"/>
        <w:right w:val="none" w:sz="0" w:space="0" w:color="auto"/>
      </w:divBdr>
    </w:div>
    <w:div w:id="1456290168">
      <w:bodyDiv w:val="1"/>
      <w:marLeft w:val="0"/>
      <w:marRight w:val="0"/>
      <w:marTop w:val="0"/>
      <w:marBottom w:val="0"/>
      <w:divBdr>
        <w:top w:val="none" w:sz="0" w:space="0" w:color="auto"/>
        <w:left w:val="none" w:sz="0" w:space="0" w:color="auto"/>
        <w:bottom w:val="none" w:sz="0" w:space="0" w:color="auto"/>
        <w:right w:val="none" w:sz="0" w:space="0" w:color="auto"/>
      </w:divBdr>
    </w:div>
    <w:div w:id="1487820965">
      <w:bodyDiv w:val="1"/>
      <w:marLeft w:val="0"/>
      <w:marRight w:val="0"/>
      <w:marTop w:val="0"/>
      <w:marBottom w:val="0"/>
      <w:divBdr>
        <w:top w:val="none" w:sz="0" w:space="0" w:color="auto"/>
        <w:left w:val="none" w:sz="0" w:space="0" w:color="auto"/>
        <w:bottom w:val="none" w:sz="0" w:space="0" w:color="auto"/>
        <w:right w:val="none" w:sz="0" w:space="0" w:color="auto"/>
      </w:divBdr>
      <w:divsChild>
        <w:div w:id="888805433">
          <w:marLeft w:val="-115"/>
          <w:marRight w:val="0"/>
          <w:marTop w:val="0"/>
          <w:marBottom w:val="0"/>
          <w:divBdr>
            <w:top w:val="none" w:sz="0" w:space="0" w:color="auto"/>
            <w:left w:val="none" w:sz="0" w:space="0" w:color="auto"/>
            <w:bottom w:val="none" w:sz="0" w:space="0" w:color="auto"/>
            <w:right w:val="none" w:sz="0" w:space="0" w:color="auto"/>
          </w:divBdr>
        </w:div>
      </w:divsChild>
    </w:div>
    <w:div w:id="1537347151">
      <w:bodyDiv w:val="1"/>
      <w:marLeft w:val="0"/>
      <w:marRight w:val="0"/>
      <w:marTop w:val="0"/>
      <w:marBottom w:val="0"/>
      <w:divBdr>
        <w:top w:val="none" w:sz="0" w:space="0" w:color="auto"/>
        <w:left w:val="none" w:sz="0" w:space="0" w:color="auto"/>
        <w:bottom w:val="none" w:sz="0" w:space="0" w:color="auto"/>
        <w:right w:val="none" w:sz="0" w:space="0" w:color="auto"/>
      </w:divBdr>
    </w:div>
    <w:div w:id="1738935535">
      <w:bodyDiv w:val="1"/>
      <w:marLeft w:val="0"/>
      <w:marRight w:val="0"/>
      <w:marTop w:val="0"/>
      <w:marBottom w:val="0"/>
      <w:divBdr>
        <w:top w:val="none" w:sz="0" w:space="0" w:color="auto"/>
        <w:left w:val="none" w:sz="0" w:space="0" w:color="auto"/>
        <w:bottom w:val="none" w:sz="0" w:space="0" w:color="auto"/>
        <w:right w:val="none" w:sz="0" w:space="0" w:color="auto"/>
      </w:divBdr>
    </w:div>
    <w:div w:id="1836068117">
      <w:bodyDiv w:val="1"/>
      <w:marLeft w:val="0"/>
      <w:marRight w:val="0"/>
      <w:marTop w:val="0"/>
      <w:marBottom w:val="0"/>
      <w:divBdr>
        <w:top w:val="none" w:sz="0" w:space="0" w:color="auto"/>
        <w:left w:val="none" w:sz="0" w:space="0" w:color="auto"/>
        <w:bottom w:val="none" w:sz="0" w:space="0" w:color="auto"/>
        <w:right w:val="none" w:sz="0" w:space="0" w:color="auto"/>
      </w:divBdr>
    </w:div>
    <w:div w:id="1892187375">
      <w:bodyDiv w:val="1"/>
      <w:marLeft w:val="0"/>
      <w:marRight w:val="0"/>
      <w:marTop w:val="0"/>
      <w:marBottom w:val="0"/>
      <w:divBdr>
        <w:top w:val="none" w:sz="0" w:space="0" w:color="auto"/>
        <w:left w:val="none" w:sz="0" w:space="0" w:color="auto"/>
        <w:bottom w:val="none" w:sz="0" w:space="0" w:color="auto"/>
        <w:right w:val="none" w:sz="0" w:space="0" w:color="auto"/>
      </w:divBdr>
    </w:div>
    <w:div w:id="19451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e.virginia.gov/instruction/mathematics/resources/vocab_card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9F18C-3AB8-4D13-8975-A7DFD14D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6817</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pgx12977</cp:lastModifiedBy>
  <cp:revision>2</cp:revision>
  <cp:lastPrinted>2014-06-16T14:34:00Z</cp:lastPrinted>
  <dcterms:created xsi:type="dcterms:W3CDTF">2018-12-17T18:32:00Z</dcterms:created>
  <dcterms:modified xsi:type="dcterms:W3CDTF">2018-12-17T18:32:00Z</dcterms:modified>
</cp:coreProperties>
</file>