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377F4" w14:textId="6B075297" w:rsidR="002A1B95" w:rsidRDefault="00205658" w:rsidP="00BD7D85">
      <w:pPr>
        <w:pStyle w:val="Heading1"/>
        <w:sectPr w:rsidR="002A1B95" w:rsidSect="00BD7D85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  <w:r>
        <w:t>Comparing Volume</w:t>
      </w:r>
      <w:r w:rsidR="00BF046F">
        <w:t xml:space="preserve"> </w:t>
      </w:r>
      <w:r w:rsidR="00005193">
        <w:t xml:space="preserve">– </w:t>
      </w:r>
      <w:r w:rsidR="00BF046F">
        <w:t>A</w:t>
      </w:r>
      <w:r w:rsidR="00562831" w:rsidRPr="00A058B4">
        <w:t xml:space="preserve"> Co-</w:t>
      </w:r>
      <w:r w:rsidR="00562831" w:rsidRPr="009341F0">
        <w:t>Teaching</w:t>
      </w:r>
      <w:r w:rsidR="00562831" w:rsidRPr="00A058B4">
        <w:t xml:space="preserve"> Lesson Plan</w:t>
      </w:r>
    </w:p>
    <w:p w14:paraId="173D9A8B" w14:textId="12F862F8" w:rsidR="00BF046F" w:rsidRDefault="00BF046F" w:rsidP="00BF046F">
      <w:pPr>
        <w:pStyle w:val="Heading2"/>
      </w:pPr>
      <w:r w:rsidRPr="003B4D66">
        <w:t>Co-Teaching Approach</w:t>
      </w:r>
      <w:r>
        <w:t>es</w:t>
      </w:r>
    </w:p>
    <w:p w14:paraId="315E843D" w14:textId="2B1EDC99" w:rsidR="00CB4928" w:rsidRDefault="00CB4928" w:rsidP="00CB4928">
      <w:r w:rsidRPr="00F14257">
        <w:t xml:space="preserve">A </w:t>
      </w:r>
      <w:r>
        <w:t>“</w:t>
      </w:r>
      <w:r w:rsidRPr="00F14257">
        <w:t>(</w:t>
      </w:r>
      <w:r>
        <w:t>Y</w:t>
      </w:r>
      <w:r w:rsidRPr="00F14257">
        <w:t>)</w:t>
      </w:r>
      <w:r>
        <w:t>”</w:t>
      </w:r>
      <w:r w:rsidR="007D5AAD">
        <w:t xml:space="preserve"> </w:t>
      </w:r>
      <w:r>
        <w:t xml:space="preserve">in front of the following list items </w:t>
      </w:r>
      <w:r w:rsidRPr="00F14257">
        <w:t xml:space="preserve">indicates the approach </w:t>
      </w:r>
      <w:r>
        <w:t>is outlined in the lesson. A</w:t>
      </w:r>
      <w:r w:rsidR="007D5AAD">
        <w:t xml:space="preserve">n </w:t>
      </w:r>
      <w:r>
        <w:t>“(N)”</w:t>
      </w:r>
      <w:r w:rsidR="007D5AAD">
        <w:t xml:space="preserve"> </w:t>
      </w:r>
      <w:r>
        <w:t>in front of the following list items indicates the approach is not outlined in the lesson.</w:t>
      </w:r>
    </w:p>
    <w:p w14:paraId="1203E56A" w14:textId="77777777" w:rsidR="00CB4928" w:rsidRDefault="00CB4928" w:rsidP="00CB4928">
      <w:pPr>
        <w:sectPr w:rsidR="00CB4928" w:rsidSect="00BD7D85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3A84D166" w14:textId="77777777" w:rsidR="00CB4928" w:rsidRPr="003B4D66" w:rsidRDefault="00CB4928" w:rsidP="00CB4928">
      <w:pPr>
        <w:pStyle w:val="ListParagraph"/>
        <w:numPr>
          <w:ilvl w:val="0"/>
          <w:numId w:val="8"/>
        </w:numPr>
      </w:pPr>
      <w:r>
        <w:t xml:space="preserve">(Y) </w:t>
      </w:r>
      <w:r w:rsidRPr="003B4D66">
        <w:t>Parallel Teach</w:t>
      </w:r>
      <w:r>
        <w:t>ing</w:t>
      </w:r>
    </w:p>
    <w:p w14:paraId="1462113F" w14:textId="77777777" w:rsidR="00CB4928" w:rsidRPr="003B4D66" w:rsidRDefault="00CB4928" w:rsidP="00CB4928">
      <w:pPr>
        <w:pStyle w:val="ListParagraph"/>
        <w:numPr>
          <w:ilvl w:val="0"/>
          <w:numId w:val="8"/>
        </w:numPr>
      </w:pPr>
      <w:r>
        <w:t>(Y) Team Teaching</w:t>
      </w:r>
    </w:p>
    <w:p w14:paraId="113C538A" w14:textId="77777777" w:rsidR="00CB4928" w:rsidRPr="00BA4F2C" w:rsidRDefault="00CB4928" w:rsidP="00CB4928">
      <w:pPr>
        <w:pStyle w:val="ListParagraph"/>
        <w:numPr>
          <w:ilvl w:val="0"/>
          <w:numId w:val="8"/>
        </w:numPr>
        <w:rPr>
          <w:b/>
        </w:rPr>
      </w:pPr>
      <w:r>
        <w:t xml:space="preserve">(N) </w:t>
      </w:r>
      <w:r w:rsidRPr="003B4D66">
        <w:t>Station Teach</w:t>
      </w:r>
      <w:r>
        <w:t>ing</w:t>
      </w:r>
    </w:p>
    <w:p w14:paraId="525D8AB5" w14:textId="77777777" w:rsidR="00CB4928" w:rsidRPr="003B4D66" w:rsidRDefault="00CB4928" w:rsidP="00CB4928">
      <w:pPr>
        <w:pStyle w:val="ListParagraph"/>
        <w:numPr>
          <w:ilvl w:val="0"/>
          <w:numId w:val="8"/>
        </w:numPr>
      </w:pPr>
      <w:r>
        <w:t>(N) One Teach/One Observe</w:t>
      </w:r>
    </w:p>
    <w:p w14:paraId="699F16B8" w14:textId="77777777" w:rsidR="00CB4928" w:rsidRDefault="00CB4928" w:rsidP="00CB4928">
      <w:pPr>
        <w:pStyle w:val="ListParagraph"/>
        <w:numPr>
          <w:ilvl w:val="0"/>
          <w:numId w:val="8"/>
        </w:numPr>
      </w:pPr>
      <w:r>
        <w:t xml:space="preserve">(N) </w:t>
      </w:r>
      <w:r w:rsidRPr="003B4D66">
        <w:t>Alternative Teach</w:t>
      </w:r>
      <w:r>
        <w:t>ing</w:t>
      </w:r>
    </w:p>
    <w:p w14:paraId="1737904D" w14:textId="77777777" w:rsidR="00CB4928" w:rsidRDefault="00CB4928" w:rsidP="00CB4928">
      <w:pPr>
        <w:pStyle w:val="ListParagraph"/>
        <w:numPr>
          <w:ilvl w:val="0"/>
          <w:numId w:val="8"/>
        </w:numPr>
      </w:pPr>
      <w:r>
        <w:t xml:space="preserve">(N) </w:t>
      </w:r>
      <w:r w:rsidRPr="003B4D66">
        <w:t>One Teach</w:t>
      </w:r>
      <w:r>
        <w:t>/One Assist</w:t>
      </w:r>
      <w:r w:rsidRPr="003B4D66">
        <w:t xml:space="preserve"> </w:t>
      </w:r>
    </w:p>
    <w:p w14:paraId="49A78C53" w14:textId="77777777" w:rsidR="00CB4928" w:rsidRDefault="00CB4928" w:rsidP="00CB4928">
      <w:pPr>
        <w:spacing w:after="240"/>
        <w:sectPr w:rsidR="00CB4928" w:rsidSect="00BD7D85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noEndnote/>
          <w:docGrid w:linePitch="326"/>
        </w:sectPr>
      </w:pPr>
    </w:p>
    <w:p w14:paraId="2F7D4ECF" w14:textId="77777777" w:rsidR="00CB4928" w:rsidRPr="00A058B4" w:rsidRDefault="00CB4928" w:rsidP="00BD7D85">
      <w:pPr>
        <w:pStyle w:val="Heading2"/>
        <w:spacing w:before="480"/>
      </w:pPr>
      <w:r w:rsidRPr="00A058B4">
        <w:t>Subject</w:t>
      </w:r>
    </w:p>
    <w:p w14:paraId="754523CD" w14:textId="5DF97E29" w:rsidR="00CB4928" w:rsidRPr="003B4D66" w:rsidRDefault="000E117A" w:rsidP="00CB4928">
      <w:r>
        <w:t>Kindergarten</w:t>
      </w:r>
      <w:r w:rsidR="005D4FBB">
        <w:t xml:space="preserve"> </w:t>
      </w:r>
      <w:r w:rsidR="00CB4928">
        <w:t>Math</w:t>
      </w:r>
      <w:r w:rsidR="00924AA8">
        <w:t>ematics</w:t>
      </w:r>
    </w:p>
    <w:p w14:paraId="787B700C" w14:textId="4769E255" w:rsidR="00CB4928" w:rsidRPr="00A058B4" w:rsidRDefault="00CB4928" w:rsidP="00CB4928">
      <w:pPr>
        <w:pStyle w:val="Heading2"/>
      </w:pPr>
      <w:r>
        <w:t>Strand</w:t>
      </w:r>
    </w:p>
    <w:p w14:paraId="328670E0" w14:textId="77777777" w:rsidR="00CB4928" w:rsidRPr="006063F1" w:rsidRDefault="00CB4928" w:rsidP="00BD7D85">
      <w:r>
        <w:t>Measurement and Geometry</w:t>
      </w:r>
    </w:p>
    <w:p w14:paraId="57ED02DD" w14:textId="441C9EE3" w:rsidR="00CB4928" w:rsidRDefault="00CB4928" w:rsidP="00CB4928">
      <w:pPr>
        <w:pStyle w:val="Heading2"/>
      </w:pPr>
      <w:r>
        <w:t>Topic</w:t>
      </w:r>
    </w:p>
    <w:p w14:paraId="3A93B4AC" w14:textId="77777777" w:rsidR="00CB4928" w:rsidRPr="003B4D66" w:rsidRDefault="00CB4928" w:rsidP="00CB4928">
      <w:r>
        <w:t>Comparing Volume</w:t>
      </w:r>
    </w:p>
    <w:p w14:paraId="4F8702E6" w14:textId="1908334C" w:rsidR="00CB4928" w:rsidRDefault="007D5AAD" w:rsidP="00CB4928">
      <w:pPr>
        <w:pStyle w:val="Heading2"/>
      </w:pPr>
      <w:r>
        <w:t>SOL</w:t>
      </w:r>
    </w:p>
    <w:p w14:paraId="09871849" w14:textId="03B07B9F" w:rsidR="00CB4928" w:rsidRPr="006063F1" w:rsidRDefault="00924AA8" w:rsidP="00BD7D85">
      <w:pPr>
        <w:ind w:left="720" w:hanging="720"/>
      </w:pPr>
      <w:r>
        <w:t>K.9</w:t>
      </w:r>
      <w:r w:rsidR="000C6EAE">
        <w:tab/>
        <w:t>The student</w:t>
      </w:r>
      <w:r w:rsidR="000C6EAE" w:rsidRPr="006063F1">
        <w:t xml:space="preserve"> </w:t>
      </w:r>
      <w:r w:rsidR="00CB4928" w:rsidRPr="006063F1">
        <w:t xml:space="preserve">will compare two objects or events, using direct comparisons, according to one or more of the following attributes: length (longer, shorter), height (taller, shorter), weight (heavier, lighter), temperature (hotter, colder), </w:t>
      </w:r>
      <w:r w:rsidR="00CB4928" w:rsidRPr="00BD7D85">
        <w:t>volume</w:t>
      </w:r>
      <w:r w:rsidR="00CB4928" w:rsidRPr="006063F1">
        <w:t xml:space="preserve"> (more, less), and time (longer, shorter).</w:t>
      </w:r>
    </w:p>
    <w:p w14:paraId="1EBB5D1F" w14:textId="5640B0CD" w:rsidR="00CB4928" w:rsidRDefault="00CB4928" w:rsidP="00CB4928">
      <w:pPr>
        <w:pStyle w:val="Heading2"/>
      </w:pPr>
      <w:r>
        <w:t>Outcomes</w:t>
      </w:r>
    </w:p>
    <w:p w14:paraId="14F0355F" w14:textId="0ACB8443" w:rsidR="00CB4928" w:rsidRPr="003B4D66" w:rsidRDefault="00CB4928" w:rsidP="00CB4928">
      <w:pPr>
        <w:tabs>
          <w:tab w:val="left" w:pos="270"/>
        </w:tabs>
      </w:pPr>
      <w:r>
        <w:t xml:space="preserve">Students will be able to compare and describe volumes of </w:t>
      </w:r>
      <w:r w:rsidR="00924AA8">
        <w:t>two</w:t>
      </w:r>
      <w:r>
        <w:t xml:space="preserve"> containers </w:t>
      </w:r>
      <w:r w:rsidR="00924AA8">
        <w:t>as more or less,</w:t>
      </w:r>
      <w:r>
        <w:t xml:space="preserve"> using direct comparison.</w:t>
      </w:r>
    </w:p>
    <w:p w14:paraId="5E3C3F72" w14:textId="3C9DC55F" w:rsidR="00CB4928" w:rsidRDefault="00CB4928" w:rsidP="00CB4928">
      <w:pPr>
        <w:pStyle w:val="Heading2"/>
      </w:pPr>
      <w:r>
        <w:t xml:space="preserve">Materials </w:t>
      </w:r>
    </w:p>
    <w:p w14:paraId="485AF29F" w14:textId="0BA9AED9" w:rsidR="00CB4928" w:rsidRDefault="00CB4928" w:rsidP="00CB4928">
      <w:pPr>
        <w:pStyle w:val="ListParagraph"/>
        <w:widowControl/>
        <w:numPr>
          <w:ilvl w:val="0"/>
          <w:numId w:val="2"/>
        </w:numPr>
        <w:spacing w:after="200" w:line="276" w:lineRule="auto"/>
      </w:pPr>
      <w:r>
        <w:t>Solid containers of various sizes</w:t>
      </w:r>
    </w:p>
    <w:p w14:paraId="641AA16A" w14:textId="07A56C70" w:rsidR="00CB4928" w:rsidRDefault="00CB4928" w:rsidP="00CB4928">
      <w:pPr>
        <w:pStyle w:val="ListParagraph"/>
        <w:widowControl/>
        <w:numPr>
          <w:ilvl w:val="0"/>
          <w:numId w:val="2"/>
        </w:numPr>
        <w:spacing w:after="200" w:line="276" w:lineRule="auto"/>
      </w:pPr>
      <w:r>
        <w:t xml:space="preserve">Container of marbles (or similar </w:t>
      </w:r>
      <w:r w:rsidR="000C6EAE">
        <w:t>same-</w:t>
      </w:r>
      <w:r w:rsidR="00924AA8">
        <w:t xml:space="preserve">sized </w:t>
      </w:r>
      <w:r>
        <w:t>small objects)</w:t>
      </w:r>
    </w:p>
    <w:p w14:paraId="6CAF4FAC" w14:textId="703DC19A" w:rsidR="00CB4928" w:rsidRDefault="000C6EAE" w:rsidP="00CB4928">
      <w:pPr>
        <w:pStyle w:val="ListParagraph"/>
        <w:widowControl/>
        <w:numPr>
          <w:ilvl w:val="0"/>
          <w:numId w:val="2"/>
        </w:numPr>
        <w:spacing w:after="200" w:line="276" w:lineRule="auto"/>
      </w:pPr>
      <w:r>
        <w:t xml:space="preserve">Two </w:t>
      </w:r>
      <w:r w:rsidR="00CB4928">
        <w:t>clear bottles of water (identical sizes)</w:t>
      </w:r>
    </w:p>
    <w:p w14:paraId="1C907678" w14:textId="073F4614" w:rsidR="00CB4928" w:rsidRDefault="00CB4928" w:rsidP="00CB4928">
      <w:pPr>
        <w:pStyle w:val="ListParagraph"/>
        <w:widowControl/>
        <w:numPr>
          <w:ilvl w:val="0"/>
          <w:numId w:val="2"/>
        </w:numPr>
        <w:spacing w:after="200" w:line="276" w:lineRule="auto"/>
      </w:pPr>
      <w:r>
        <w:t>Classroom objects/manipulatives (</w:t>
      </w:r>
      <w:r w:rsidR="000C6EAE">
        <w:t xml:space="preserve">e.g., </w:t>
      </w:r>
      <w:r>
        <w:t>pencils, counters, crayons, buttons)</w:t>
      </w:r>
    </w:p>
    <w:p w14:paraId="6D1D8C2B" w14:textId="77777777" w:rsidR="00CB4928" w:rsidRDefault="00CB4928" w:rsidP="00CB4928">
      <w:pPr>
        <w:pStyle w:val="ListParagraph"/>
        <w:widowControl/>
        <w:numPr>
          <w:ilvl w:val="0"/>
          <w:numId w:val="2"/>
        </w:numPr>
        <w:spacing w:after="200" w:line="276" w:lineRule="auto"/>
      </w:pPr>
      <w:r>
        <w:t>Sand/rice/dried corn/beans/pasta</w:t>
      </w:r>
    </w:p>
    <w:p w14:paraId="21973EC4" w14:textId="653A8F7A" w:rsidR="00CB4928" w:rsidRDefault="00CB4928" w:rsidP="00CB4928">
      <w:pPr>
        <w:pStyle w:val="ListParagraph"/>
        <w:widowControl/>
        <w:numPr>
          <w:ilvl w:val="0"/>
          <w:numId w:val="2"/>
        </w:numPr>
        <w:spacing w:after="200" w:line="276" w:lineRule="auto"/>
      </w:pPr>
      <w:r>
        <w:lastRenderedPageBreak/>
        <w:t xml:space="preserve">Chart </w:t>
      </w:r>
      <w:r w:rsidR="000C6EAE">
        <w:t xml:space="preserve">paper </w:t>
      </w:r>
      <w:r>
        <w:t>or whiteboard</w:t>
      </w:r>
    </w:p>
    <w:p w14:paraId="424FA378" w14:textId="129F3A1A" w:rsidR="00CB4928" w:rsidRDefault="00CB4928" w:rsidP="00CB4928">
      <w:pPr>
        <w:pStyle w:val="ListParagraph"/>
        <w:widowControl/>
        <w:numPr>
          <w:ilvl w:val="0"/>
          <w:numId w:val="2"/>
        </w:numPr>
        <w:spacing w:after="200" w:line="276" w:lineRule="auto"/>
      </w:pPr>
      <w:r>
        <w:t>Markers</w:t>
      </w:r>
    </w:p>
    <w:p w14:paraId="043F0A44" w14:textId="0184B7D0" w:rsidR="00CB4928" w:rsidRDefault="00CB4928" w:rsidP="00CB4928">
      <w:pPr>
        <w:pStyle w:val="Heading2"/>
      </w:pPr>
      <w:r w:rsidRPr="003B4D66">
        <w:t>Vocab</w:t>
      </w:r>
      <w:r>
        <w:t>ulary</w:t>
      </w:r>
    </w:p>
    <w:p w14:paraId="017973C0" w14:textId="77777777" w:rsidR="00CB4928" w:rsidRDefault="00CB4928" w:rsidP="00CB4928">
      <w:pPr>
        <w:pStyle w:val="ListParagraph"/>
        <w:numPr>
          <w:ilvl w:val="0"/>
          <w:numId w:val="9"/>
        </w:numPr>
        <w:sectPr w:rsidR="00CB4928" w:rsidSect="00BD7D85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62F5C41E" w14:textId="2B16E08D" w:rsidR="00BA169F" w:rsidRPr="00BD7D85" w:rsidRDefault="000C6EAE" w:rsidP="00BD7D85">
      <w:pPr>
        <w:pStyle w:val="ListParagraph"/>
        <w:widowControl/>
        <w:spacing w:after="200" w:line="276" w:lineRule="auto"/>
        <w:ind w:left="360"/>
        <w:rPr>
          <w:i/>
        </w:rPr>
        <w:sectPr w:rsidR="00BA169F" w:rsidRPr="00BD7D85" w:rsidSect="00BD7D85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  <w:proofErr w:type="gramStart"/>
      <w:r w:rsidRPr="00BD7D85">
        <w:rPr>
          <w:i/>
        </w:rPr>
        <w:t>compare</w:t>
      </w:r>
      <w:proofErr w:type="gramEnd"/>
      <w:r w:rsidRPr="00BD7D85">
        <w:rPr>
          <w:i/>
        </w:rPr>
        <w:t xml:space="preserve">, equal, less, more, </w:t>
      </w:r>
      <w:r w:rsidR="003542E9" w:rsidRPr="00BD7D85">
        <w:rPr>
          <w:i/>
        </w:rPr>
        <w:t>v</w:t>
      </w:r>
      <w:r w:rsidR="00CB4928" w:rsidRPr="00BD7D85">
        <w:rPr>
          <w:i/>
        </w:rPr>
        <w:t>olume</w:t>
      </w:r>
      <w:r w:rsidR="003542E9" w:rsidRPr="00BD7D85">
        <w:rPr>
          <w:i/>
        </w:rPr>
        <w:t xml:space="preserve"> (</w:t>
      </w:r>
      <w:r w:rsidR="00CB4928" w:rsidRPr="00BD7D85">
        <w:rPr>
          <w:i/>
        </w:rPr>
        <w:t>the measure of capacity of a container</w:t>
      </w:r>
      <w:r w:rsidR="003542E9" w:rsidRPr="00BD7D85">
        <w:rPr>
          <w:i/>
        </w:rPr>
        <w:t>)</w:t>
      </w:r>
    </w:p>
    <w:p w14:paraId="0971A398" w14:textId="77777777" w:rsidR="00867493" w:rsidRDefault="00720A4E" w:rsidP="00BD7D85">
      <w:pPr>
        <w:pStyle w:val="Heading2"/>
      </w:pPr>
      <w:r>
        <w:lastRenderedPageBreak/>
        <w:t>Co-T</w:t>
      </w:r>
      <w:r w:rsidR="00B22882">
        <w:t>eacher Actions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  <w:tblCaption w:val="co-teaching actions"/>
        <w:tblDescription w:val="The table identifies the components of a lesson plan, the co-teaching approach used and the role of each teacher in the implementation of the components of the lessons"/>
      </w:tblPr>
      <w:tblGrid>
        <w:gridCol w:w="2088"/>
        <w:gridCol w:w="2340"/>
        <w:gridCol w:w="4353"/>
        <w:gridCol w:w="4354"/>
      </w:tblGrid>
      <w:tr w:rsidR="00FF546C" w14:paraId="6621C271" w14:textId="77777777" w:rsidTr="00BD7D85">
        <w:trPr>
          <w:tblHeader/>
        </w:trPr>
        <w:tc>
          <w:tcPr>
            <w:tcW w:w="2088" w:type="dxa"/>
          </w:tcPr>
          <w:p w14:paraId="679DB8E3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Lesson Component</w:t>
            </w:r>
          </w:p>
        </w:tc>
        <w:tc>
          <w:tcPr>
            <w:tcW w:w="2340" w:type="dxa"/>
          </w:tcPr>
          <w:p w14:paraId="28CABEEC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Co-Teaching Approach(</w:t>
            </w:r>
            <w:proofErr w:type="spellStart"/>
            <w:r w:rsidRPr="00FF546C">
              <w:rPr>
                <w:b/>
              </w:rPr>
              <w:t>es</w:t>
            </w:r>
            <w:proofErr w:type="spellEnd"/>
            <w:r w:rsidRPr="00FF546C">
              <w:rPr>
                <w:b/>
              </w:rPr>
              <w:t>)</w:t>
            </w:r>
          </w:p>
        </w:tc>
        <w:tc>
          <w:tcPr>
            <w:tcW w:w="4353" w:type="dxa"/>
          </w:tcPr>
          <w:p w14:paraId="050B3124" w14:textId="77777777" w:rsidR="00FF546C" w:rsidRPr="00FF546C" w:rsidRDefault="001451D0" w:rsidP="00FF546C">
            <w:pPr>
              <w:rPr>
                <w:b/>
              </w:rPr>
            </w:pPr>
            <w:r>
              <w:rPr>
                <w:b/>
              </w:rPr>
              <w:t>General Educator</w:t>
            </w:r>
            <w:r w:rsidR="008F07A5">
              <w:rPr>
                <w:b/>
              </w:rPr>
              <w:t xml:space="preserve"> (GE)</w:t>
            </w:r>
          </w:p>
        </w:tc>
        <w:tc>
          <w:tcPr>
            <w:tcW w:w="4354" w:type="dxa"/>
          </w:tcPr>
          <w:p w14:paraId="1968D78C" w14:textId="77777777" w:rsidR="00FF546C" w:rsidRPr="00FF546C" w:rsidRDefault="001451D0" w:rsidP="00FF546C">
            <w:pPr>
              <w:rPr>
                <w:b/>
              </w:rPr>
            </w:pPr>
            <w:r>
              <w:rPr>
                <w:b/>
              </w:rPr>
              <w:t>Special Educator</w:t>
            </w:r>
            <w:r w:rsidR="008F07A5">
              <w:rPr>
                <w:b/>
              </w:rPr>
              <w:t xml:space="preserve"> (SE)</w:t>
            </w:r>
          </w:p>
        </w:tc>
      </w:tr>
      <w:tr w:rsidR="002645C4" w14:paraId="7EEE836E" w14:textId="77777777" w:rsidTr="00BD7D85">
        <w:tc>
          <w:tcPr>
            <w:tcW w:w="2088" w:type="dxa"/>
          </w:tcPr>
          <w:p w14:paraId="382D45D0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Anticipatory Set</w:t>
            </w:r>
          </w:p>
        </w:tc>
        <w:tc>
          <w:tcPr>
            <w:tcW w:w="2340" w:type="dxa"/>
          </w:tcPr>
          <w:p w14:paraId="3BDC1175" w14:textId="77777777" w:rsidR="002645C4" w:rsidRPr="009065CE" w:rsidRDefault="00CB4928" w:rsidP="00CB4928">
            <w:r>
              <w:t>Team Teaching</w:t>
            </w:r>
          </w:p>
        </w:tc>
        <w:tc>
          <w:tcPr>
            <w:tcW w:w="4353" w:type="dxa"/>
          </w:tcPr>
          <w:p w14:paraId="049687A1" w14:textId="7645C4C1" w:rsidR="002645C4" w:rsidRPr="0030291A" w:rsidRDefault="000C6EAE" w:rsidP="00BD7D85">
            <w:pPr>
              <w:spacing w:after="120"/>
            </w:pPr>
            <w:r>
              <w:t xml:space="preserve">The GE </w:t>
            </w:r>
            <w:r w:rsidR="00CB4928">
              <w:t xml:space="preserve">will place two </w:t>
            </w:r>
            <w:r>
              <w:t>different-</w:t>
            </w:r>
            <w:r w:rsidR="00CB4928">
              <w:t xml:space="preserve">sized containers on a table. Ask students to </w:t>
            </w:r>
            <w:r w:rsidR="00924AA8">
              <w:t xml:space="preserve">describe the containers and what they might </w:t>
            </w:r>
            <w:r>
              <w:t>hold</w:t>
            </w:r>
            <w:r w:rsidR="00924AA8">
              <w:t>. Continue the discussion</w:t>
            </w:r>
            <w:r>
              <w:t>,</w:t>
            </w:r>
            <w:r w:rsidR="00924AA8">
              <w:t xml:space="preserve"> a</w:t>
            </w:r>
            <w:r w:rsidR="00CB4928">
              <w:t>sk</w:t>
            </w:r>
            <w:r w:rsidR="00924AA8">
              <w:t>ing</w:t>
            </w:r>
            <w:r w:rsidR="00CB4928">
              <w:t xml:space="preserve"> students </w:t>
            </w:r>
            <w:r>
              <w:t xml:space="preserve">whether </w:t>
            </w:r>
            <w:r w:rsidR="00924AA8">
              <w:t>the containers would hold the same amount of anything that might be put inside them.</w:t>
            </w:r>
          </w:p>
        </w:tc>
        <w:tc>
          <w:tcPr>
            <w:tcW w:w="4354" w:type="dxa"/>
          </w:tcPr>
          <w:p w14:paraId="6432763A" w14:textId="4D499000" w:rsidR="002645C4" w:rsidRPr="00E40032" w:rsidRDefault="000C6EAE" w:rsidP="00BD7D85">
            <w:pPr>
              <w:spacing w:after="120"/>
              <w:rPr>
                <w:rFonts w:asciiTheme="minorHAnsi" w:hAnsiTheme="minorHAnsi" w:cstheme="minorHAnsi"/>
              </w:rPr>
            </w:pPr>
            <w:r>
              <w:t xml:space="preserve">The </w:t>
            </w:r>
            <w:r w:rsidR="00CB4928">
              <w:t xml:space="preserve">SE will assist </w:t>
            </w:r>
            <w:r>
              <w:t xml:space="preserve">the </w:t>
            </w:r>
            <w:r w:rsidR="00CB4928">
              <w:t>GE with getting containers, asking questions, creating class dialogue</w:t>
            </w:r>
            <w:r>
              <w:t>, etc</w:t>
            </w:r>
            <w:r w:rsidR="00CB4928">
              <w:t>.</w:t>
            </w:r>
          </w:p>
        </w:tc>
      </w:tr>
      <w:tr w:rsidR="002645C4" w14:paraId="4AF61B64" w14:textId="77777777" w:rsidTr="00BD7D85">
        <w:tc>
          <w:tcPr>
            <w:tcW w:w="2088" w:type="dxa"/>
          </w:tcPr>
          <w:p w14:paraId="1F35168A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Lesson Activities/</w:t>
            </w:r>
            <w:r>
              <w:rPr>
                <w:b/>
              </w:rPr>
              <w:t xml:space="preserve"> </w:t>
            </w:r>
            <w:r w:rsidRPr="009065CE">
              <w:rPr>
                <w:b/>
              </w:rPr>
              <w:t>Procedures</w:t>
            </w:r>
          </w:p>
        </w:tc>
        <w:tc>
          <w:tcPr>
            <w:tcW w:w="2340" w:type="dxa"/>
          </w:tcPr>
          <w:p w14:paraId="52AE5E1C" w14:textId="77777777" w:rsidR="002645C4" w:rsidRPr="00885417" w:rsidRDefault="00CB4928" w:rsidP="00500BAA">
            <w:r>
              <w:t>Team Teaching</w:t>
            </w:r>
          </w:p>
        </w:tc>
        <w:tc>
          <w:tcPr>
            <w:tcW w:w="4353" w:type="dxa"/>
          </w:tcPr>
          <w:p w14:paraId="065D37EF" w14:textId="7A7C209B" w:rsidR="00924AA8" w:rsidRDefault="000C6EAE" w:rsidP="00BD7D85">
            <w:pPr>
              <w:pStyle w:val="ListParagraph"/>
              <w:numPr>
                <w:ilvl w:val="0"/>
                <w:numId w:val="24"/>
              </w:numPr>
              <w:spacing w:after="120"/>
              <w:ind w:left="325"/>
            </w:pPr>
            <w:r>
              <w:t>The GE</w:t>
            </w:r>
            <w:r w:rsidR="00CB4928">
              <w:t xml:space="preserve"> will pour one </w:t>
            </w:r>
            <w:r>
              <w:t xml:space="preserve">bottle of </w:t>
            </w:r>
            <w:r w:rsidR="00CB4928">
              <w:t xml:space="preserve">water into the </w:t>
            </w:r>
            <w:r w:rsidR="00576193">
              <w:t>first</w:t>
            </w:r>
            <w:r w:rsidR="00CB4928">
              <w:t xml:space="preserve"> container and repeat</w:t>
            </w:r>
            <w:r>
              <w:t xml:space="preserve"> the</w:t>
            </w:r>
            <w:r w:rsidR="00CB4928">
              <w:t xml:space="preserve"> process with the second container. After pouring </w:t>
            </w:r>
            <w:r>
              <w:t xml:space="preserve">the water </w:t>
            </w:r>
            <w:r w:rsidR="00CB4928">
              <w:t xml:space="preserve">into the containers, set the </w:t>
            </w:r>
            <w:r w:rsidR="00576193">
              <w:t>water bottles</w:t>
            </w:r>
            <w:r w:rsidR="00CB4928">
              <w:t xml:space="preserve"> on the table, </w:t>
            </w:r>
            <w:r w:rsidR="00924AA8">
              <w:t>side by side</w:t>
            </w:r>
            <w:r>
              <w:t>,</w:t>
            </w:r>
            <w:r w:rsidR="00924AA8">
              <w:t xml:space="preserve"> where all students can see them.</w:t>
            </w:r>
          </w:p>
          <w:p w14:paraId="4137848C" w14:textId="77777777" w:rsidR="002645C4" w:rsidRPr="009065CE" w:rsidRDefault="00924AA8" w:rsidP="00BD7D85">
            <w:pPr>
              <w:spacing w:after="120"/>
            </w:pPr>
            <w:r>
              <w:t>G</w:t>
            </w:r>
            <w:r w:rsidR="00CB4928">
              <w:t>uide students through exploration of volume by leading a discussion about whi</w:t>
            </w:r>
            <w:r w:rsidR="00024268">
              <w:t>ch water bottle</w:t>
            </w:r>
            <w:r w:rsidR="00CB4928">
              <w:t xml:space="preserve"> has the most and/or least liquid remaining in it. Using this analysis, students will be able to determine which container held the most or least amount of liquid</w:t>
            </w:r>
            <w:r w:rsidR="00576193">
              <w:t>.</w:t>
            </w:r>
          </w:p>
        </w:tc>
        <w:tc>
          <w:tcPr>
            <w:tcW w:w="4354" w:type="dxa"/>
          </w:tcPr>
          <w:p w14:paraId="6B6152BD" w14:textId="10DE0995" w:rsidR="000C6EAE" w:rsidRDefault="000C6EAE" w:rsidP="00BD7D85">
            <w:pPr>
              <w:pStyle w:val="ListParagraph"/>
              <w:numPr>
                <w:ilvl w:val="0"/>
                <w:numId w:val="24"/>
              </w:numPr>
              <w:spacing w:after="120"/>
              <w:ind w:left="382"/>
            </w:pPr>
            <w:r>
              <w:t>The SE</w:t>
            </w:r>
            <w:r w:rsidR="00CB4928">
              <w:t xml:space="preserve"> will place a different set of container</w:t>
            </w:r>
            <w:r w:rsidR="00576193">
              <w:t>s</w:t>
            </w:r>
            <w:r w:rsidR="00CB4928">
              <w:t xml:space="preserve"> on the table. </w:t>
            </w:r>
            <w:r>
              <w:t xml:space="preserve">The SE </w:t>
            </w:r>
            <w:r w:rsidR="00CB4928">
              <w:t xml:space="preserve">will call on students to come place some marbles in the containers, until they are filled. Once the containers are full, </w:t>
            </w:r>
            <w:r w:rsidR="00576193">
              <w:t xml:space="preserve">help the students count and record the number of marbles held in each container. </w:t>
            </w:r>
          </w:p>
          <w:p w14:paraId="670BCE4C" w14:textId="51E30165" w:rsidR="002645C4" w:rsidRPr="009065CE" w:rsidRDefault="00576193" w:rsidP="00BD7D85">
            <w:pPr>
              <w:spacing w:after="120"/>
            </w:pPr>
            <w:r>
              <w:t xml:space="preserve">Then </w:t>
            </w:r>
            <w:r w:rsidR="00CB4928">
              <w:t xml:space="preserve">lead the class in a discussion about volume by determining which container held more </w:t>
            </w:r>
            <w:r>
              <w:t>and which held</w:t>
            </w:r>
            <w:r w:rsidR="00CB4928">
              <w:t xml:space="preserve"> less marbles.</w:t>
            </w:r>
          </w:p>
        </w:tc>
      </w:tr>
      <w:tr w:rsidR="00FF546C" w14:paraId="7865FF38" w14:textId="77777777" w:rsidTr="00BD7D85">
        <w:tc>
          <w:tcPr>
            <w:tcW w:w="2088" w:type="dxa"/>
          </w:tcPr>
          <w:p w14:paraId="5E85A6BD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Guided/Independent Practice</w:t>
            </w:r>
          </w:p>
        </w:tc>
        <w:tc>
          <w:tcPr>
            <w:tcW w:w="2340" w:type="dxa"/>
          </w:tcPr>
          <w:p w14:paraId="485A9194" w14:textId="77777777" w:rsidR="00FF546C" w:rsidRPr="00885417" w:rsidRDefault="00CB4928" w:rsidP="009065CE">
            <w:r>
              <w:t>Parallel Teaching</w:t>
            </w:r>
          </w:p>
        </w:tc>
        <w:tc>
          <w:tcPr>
            <w:tcW w:w="4353" w:type="dxa"/>
          </w:tcPr>
          <w:p w14:paraId="558FAA57" w14:textId="77777777" w:rsidR="00CB4928" w:rsidRDefault="00CB4928" w:rsidP="00BD7D85">
            <w:pPr>
              <w:spacing w:after="120"/>
            </w:pPr>
            <w:r>
              <w:t xml:space="preserve">Teachers will </w:t>
            </w:r>
            <w:r w:rsidR="00576193">
              <w:t xml:space="preserve">randomly </w:t>
            </w:r>
            <w:r>
              <w:t xml:space="preserve">divide the class into </w:t>
            </w:r>
            <w:r w:rsidR="00576193">
              <w:t>two</w:t>
            </w:r>
            <w:r>
              <w:t xml:space="preserve"> separate groups to practice the skill. </w:t>
            </w:r>
          </w:p>
          <w:p w14:paraId="5EF61E8D" w14:textId="17731A62" w:rsidR="00CB4928" w:rsidRDefault="00CB4928" w:rsidP="00BD7D85">
            <w:pPr>
              <w:spacing w:after="120"/>
            </w:pPr>
            <w:r w:rsidRPr="00BD7D85">
              <w:rPr>
                <w:b/>
              </w:rPr>
              <w:t>Teacher-led Group 1:</w:t>
            </w:r>
            <w:r>
              <w:t xml:space="preserve"> Using one of the following</w:t>
            </w:r>
            <w:r w:rsidR="00576193">
              <w:t xml:space="preserve"> </w:t>
            </w:r>
            <w:r w:rsidR="000C6EAE">
              <w:t xml:space="preserve">– </w:t>
            </w:r>
            <w:r>
              <w:t>rice/dried corn/beans/sand/</w:t>
            </w:r>
            <w:r w:rsidR="00576193">
              <w:t xml:space="preserve">or </w:t>
            </w:r>
            <w:r>
              <w:t>pasta</w:t>
            </w:r>
            <w:r w:rsidR="000C6EAE">
              <w:t xml:space="preserve"> – the GE</w:t>
            </w:r>
            <w:r>
              <w:t xml:space="preserve"> will guide students through an activity of measuring the volume of </w:t>
            </w:r>
            <w:r w:rsidR="000C6EAE">
              <w:lastRenderedPageBreak/>
              <w:t>various-</w:t>
            </w:r>
            <w:r>
              <w:t>sized containers</w:t>
            </w:r>
            <w:r w:rsidR="00576193">
              <w:t xml:space="preserve"> by first filling a container with the </w:t>
            </w:r>
            <w:r w:rsidR="000C6EAE">
              <w:t xml:space="preserve">material </w:t>
            </w:r>
            <w:r w:rsidR="000E55FB">
              <w:t xml:space="preserve">and then </w:t>
            </w:r>
            <w:r w:rsidR="00576193">
              <w:t xml:space="preserve">pouring the contents from </w:t>
            </w:r>
            <w:r w:rsidR="000E55FB">
              <w:t>that</w:t>
            </w:r>
            <w:r w:rsidR="00576193">
              <w:t xml:space="preserve"> container into another.</w:t>
            </w:r>
            <w:r>
              <w:t xml:space="preserve"> Students will practice using the vocabulary terms (</w:t>
            </w:r>
            <w:r w:rsidRPr="00BD7D85">
              <w:rPr>
                <w:i/>
              </w:rPr>
              <w:t>more</w:t>
            </w:r>
            <w:r>
              <w:t xml:space="preserve">, </w:t>
            </w:r>
            <w:r w:rsidRPr="00BD7D85">
              <w:rPr>
                <w:i/>
              </w:rPr>
              <w:t>less</w:t>
            </w:r>
            <w:r>
              <w:t xml:space="preserve">, </w:t>
            </w:r>
            <w:r w:rsidRPr="00BD7D85">
              <w:rPr>
                <w:i/>
              </w:rPr>
              <w:t>equal</w:t>
            </w:r>
            <w:r>
              <w:t xml:space="preserve">, </w:t>
            </w:r>
            <w:r w:rsidR="000E55FB" w:rsidRPr="00BD7D85">
              <w:rPr>
                <w:i/>
              </w:rPr>
              <w:t>volume</w:t>
            </w:r>
            <w:r w:rsidR="000E55FB">
              <w:t>) by comparing the volume of the two containers.</w:t>
            </w:r>
          </w:p>
          <w:p w14:paraId="291DDCB1" w14:textId="36ABD565" w:rsidR="00FF546C" w:rsidRPr="009065CE" w:rsidRDefault="00CB4928" w:rsidP="00BD7D85">
            <w:pPr>
              <w:spacing w:after="120"/>
            </w:pPr>
            <w:r>
              <w:t xml:space="preserve">After </w:t>
            </w:r>
            <w:r w:rsidR="000C6EAE">
              <w:t>guided practice</w:t>
            </w:r>
            <w:r>
              <w:t>, students will flip-flop and go to Teacher-led Group 2</w:t>
            </w:r>
            <w:r w:rsidR="000C6EAE">
              <w:t>.</w:t>
            </w:r>
          </w:p>
        </w:tc>
        <w:tc>
          <w:tcPr>
            <w:tcW w:w="4354" w:type="dxa"/>
          </w:tcPr>
          <w:p w14:paraId="2F91114B" w14:textId="7F6C368E" w:rsidR="00CB4928" w:rsidRDefault="00CB4928" w:rsidP="00BD7D85">
            <w:pPr>
              <w:spacing w:before="960" w:after="120"/>
            </w:pPr>
            <w:r w:rsidRPr="00BD7D85">
              <w:rPr>
                <w:b/>
              </w:rPr>
              <w:lastRenderedPageBreak/>
              <w:t>Teacher-led Group 2:</w:t>
            </w:r>
            <w:r>
              <w:t xml:space="preserve"> Using classroom manipulatives (</w:t>
            </w:r>
            <w:r w:rsidR="000C6EAE">
              <w:t xml:space="preserve">e.g., </w:t>
            </w:r>
            <w:r>
              <w:t xml:space="preserve">buttons, counters, pencils, crayons), students will count out the number of items that fit into the </w:t>
            </w:r>
            <w:r>
              <w:lastRenderedPageBreak/>
              <w:t>provided containers. Students will practice using the vocabulary terms (</w:t>
            </w:r>
            <w:r w:rsidRPr="00BD7D85">
              <w:rPr>
                <w:i/>
              </w:rPr>
              <w:t>more</w:t>
            </w:r>
            <w:r>
              <w:t xml:space="preserve">, </w:t>
            </w:r>
            <w:r w:rsidRPr="00BD7D85">
              <w:rPr>
                <w:i/>
              </w:rPr>
              <w:t>less</w:t>
            </w:r>
            <w:r>
              <w:t xml:space="preserve">, </w:t>
            </w:r>
            <w:r w:rsidRPr="00BD7D85">
              <w:rPr>
                <w:i/>
              </w:rPr>
              <w:t>equal</w:t>
            </w:r>
            <w:r>
              <w:t xml:space="preserve">, </w:t>
            </w:r>
            <w:r w:rsidR="000E55FB" w:rsidRPr="00BD7D85">
              <w:rPr>
                <w:i/>
              </w:rPr>
              <w:t>volume</w:t>
            </w:r>
            <w:r w:rsidR="000E55FB">
              <w:t>) by comparing the volume of the two containers.</w:t>
            </w:r>
          </w:p>
          <w:p w14:paraId="23AE7FB5" w14:textId="02355712" w:rsidR="00FF546C" w:rsidRPr="009065CE" w:rsidRDefault="00CB4928" w:rsidP="00BD7D85">
            <w:pPr>
              <w:spacing w:after="120"/>
            </w:pPr>
            <w:r>
              <w:t xml:space="preserve">After </w:t>
            </w:r>
            <w:r w:rsidR="000C6EAE">
              <w:t>guided practice</w:t>
            </w:r>
            <w:r>
              <w:t xml:space="preserve">, students will </w:t>
            </w:r>
            <w:r w:rsidR="000E117A">
              <w:t xml:space="preserve">move to </w:t>
            </w:r>
            <w:r>
              <w:t>Teacher-led Group 1</w:t>
            </w:r>
            <w:r w:rsidR="000E117A">
              <w:t>.</w:t>
            </w:r>
          </w:p>
        </w:tc>
      </w:tr>
      <w:tr w:rsidR="00CB4928" w14:paraId="707CA4B1" w14:textId="77777777" w:rsidTr="00BD7D85">
        <w:tc>
          <w:tcPr>
            <w:tcW w:w="2088" w:type="dxa"/>
          </w:tcPr>
          <w:p w14:paraId="7BFCF795" w14:textId="77777777" w:rsidR="00CB4928" w:rsidRPr="009065CE" w:rsidRDefault="00CB4928" w:rsidP="00CB4928">
            <w:pPr>
              <w:rPr>
                <w:b/>
              </w:rPr>
            </w:pPr>
            <w:r w:rsidRPr="009065CE">
              <w:rPr>
                <w:b/>
              </w:rPr>
              <w:lastRenderedPageBreak/>
              <w:t>Closure</w:t>
            </w:r>
          </w:p>
        </w:tc>
        <w:tc>
          <w:tcPr>
            <w:tcW w:w="2340" w:type="dxa"/>
          </w:tcPr>
          <w:p w14:paraId="32B3133B" w14:textId="77777777" w:rsidR="00CB4928" w:rsidRPr="00885417" w:rsidRDefault="00CB4928" w:rsidP="00CB4928">
            <w:r>
              <w:t>Team Teaching</w:t>
            </w:r>
          </w:p>
        </w:tc>
        <w:tc>
          <w:tcPr>
            <w:tcW w:w="4353" w:type="dxa"/>
          </w:tcPr>
          <w:p w14:paraId="1AF57AE7" w14:textId="4EAE22EE" w:rsidR="00CB4928" w:rsidRPr="009065CE" w:rsidRDefault="00CB4928" w:rsidP="00BD7D85">
            <w:pPr>
              <w:spacing w:after="120"/>
            </w:pPr>
            <w:r>
              <w:t xml:space="preserve">Teachers will bring all students back to the </w:t>
            </w:r>
            <w:r w:rsidR="000C6EAE">
              <w:t>whole-</w:t>
            </w:r>
            <w:r>
              <w:t xml:space="preserve">group setting. Once there, using chart paper and markers, </w:t>
            </w:r>
            <w:r w:rsidR="000C6EAE">
              <w:t xml:space="preserve">teachers </w:t>
            </w:r>
            <w:r>
              <w:t xml:space="preserve">and </w:t>
            </w:r>
            <w:r w:rsidR="000C6EAE">
              <w:t xml:space="preserve">students </w:t>
            </w:r>
            <w:r>
              <w:t>will work together to discuss and chart their findings (</w:t>
            </w:r>
            <w:r w:rsidR="000E55FB">
              <w:t>i.e.</w:t>
            </w:r>
            <w:r w:rsidR="000C6EAE">
              <w:t>,</w:t>
            </w:r>
            <w:r>
              <w:t xml:space="preserve"> which containers held the most, least, same amount)</w:t>
            </w:r>
          </w:p>
        </w:tc>
        <w:tc>
          <w:tcPr>
            <w:tcW w:w="4354" w:type="dxa"/>
          </w:tcPr>
          <w:p w14:paraId="5678B9CC" w14:textId="097EF4A2" w:rsidR="00CB4928" w:rsidRPr="000E117A" w:rsidRDefault="000E55FB" w:rsidP="00BD7D85">
            <w:pPr>
              <w:spacing w:after="120"/>
            </w:pPr>
            <w:r w:rsidRPr="000E117A">
              <w:t>Same as GE</w:t>
            </w:r>
            <w:r w:rsidR="000C6EAE">
              <w:t>.</w:t>
            </w:r>
          </w:p>
        </w:tc>
      </w:tr>
      <w:tr w:rsidR="00CB4928" w14:paraId="1E04FBDE" w14:textId="77777777" w:rsidTr="00BD7D85">
        <w:tc>
          <w:tcPr>
            <w:tcW w:w="2088" w:type="dxa"/>
          </w:tcPr>
          <w:p w14:paraId="78C7157B" w14:textId="77777777" w:rsidR="00CB4928" w:rsidRPr="009065CE" w:rsidRDefault="00CB4928" w:rsidP="00CB4928">
            <w:pPr>
              <w:rPr>
                <w:b/>
              </w:rPr>
            </w:pPr>
            <w:r w:rsidRPr="009065CE">
              <w:rPr>
                <w:b/>
              </w:rPr>
              <w:t>Formative Assessment Strategies</w:t>
            </w:r>
          </w:p>
        </w:tc>
        <w:tc>
          <w:tcPr>
            <w:tcW w:w="2340" w:type="dxa"/>
          </w:tcPr>
          <w:p w14:paraId="08900134" w14:textId="77777777" w:rsidR="00CB4928" w:rsidRDefault="000E55FB" w:rsidP="00CB4928">
            <w:r>
              <w:t>Team</w:t>
            </w:r>
            <w:r w:rsidR="00CB4928">
              <w:t xml:space="preserve"> Teaching</w:t>
            </w:r>
          </w:p>
          <w:p w14:paraId="178AE290" w14:textId="77777777" w:rsidR="00CB4928" w:rsidRPr="009065CE" w:rsidRDefault="00CB4928" w:rsidP="003D4192"/>
        </w:tc>
        <w:tc>
          <w:tcPr>
            <w:tcW w:w="4353" w:type="dxa"/>
          </w:tcPr>
          <w:p w14:paraId="4685DE8E" w14:textId="4BB37A85" w:rsidR="000C6EAE" w:rsidRDefault="00CB4928" w:rsidP="00BD7D85">
            <w:pPr>
              <w:spacing w:after="120"/>
            </w:pPr>
            <w:r>
              <w:t>During the teacher-led practice</w:t>
            </w:r>
            <w:r w:rsidR="000C6EAE">
              <w:t>,</w:t>
            </w:r>
            <w:r>
              <w:t xml:space="preserve"> the teacher will notate who is demonstrating correct usage of the vocabulary terms and who is able to compare the volume of containers.</w:t>
            </w:r>
          </w:p>
          <w:p w14:paraId="2D2FD75A" w14:textId="4DFDFBCB" w:rsidR="000C6EAE" w:rsidRPr="00BD7D85" w:rsidRDefault="003542E9" w:rsidP="00BD7D85">
            <w:pPr>
              <w:spacing w:after="120"/>
              <w:rPr>
                <w:b/>
              </w:rPr>
            </w:pPr>
            <w:r w:rsidRPr="00BD7D85">
              <w:rPr>
                <w:b/>
              </w:rPr>
              <w:t xml:space="preserve">Exit </w:t>
            </w:r>
            <w:r w:rsidR="000C6EAE" w:rsidRPr="00BD7D85">
              <w:rPr>
                <w:b/>
              </w:rPr>
              <w:t>Ticket</w:t>
            </w:r>
          </w:p>
          <w:p w14:paraId="3158E52F" w14:textId="23B177CF" w:rsidR="00CB4928" w:rsidRPr="009065CE" w:rsidRDefault="00796677" w:rsidP="00BD7D85">
            <w:pPr>
              <w:spacing w:after="120"/>
            </w:pPr>
            <w:r>
              <w:t xml:space="preserve">Draw a picture of something that would hold more </w:t>
            </w:r>
            <w:r w:rsidR="003542E9">
              <w:t>water than my water bottle</w:t>
            </w:r>
            <w:r>
              <w:t xml:space="preserve"> (hold up the </w:t>
            </w:r>
            <w:r w:rsidR="003542E9">
              <w:t>bottle</w:t>
            </w:r>
            <w:r>
              <w:t>). Draw a picture of something that would hold less</w:t>
            </w:r>
            <w:r w:rsidR="003542E9">
              <w:t xml:space="preserve"> water than my water bottle.</w:t>
            </w:r>
          </w:p>
        </w:tc>
        <w:tc>
          <w:tcPr>
            <w:tcW w:w="4354" w:type="dxa"/>
          </w:tcPr>
          <w:p w14:paraId="3A5D07E7" w14:textId="6A4E0A9A" w:rsidR="00CB4928" w:rsidRPr="009065CE" w:rsidRDefault="000E55FB" w:rsidP="00BD7D85">
            <w:pPr>
              <w:spacing w:after="120"/>
            </w:pPr>
            <w:r>
              <w:t>Same as GE</w:t>
            </w:r>
            <w:r w:rsidR="000C6EAE">
              <w:t>.</w:t>
            </w:r>
          </w:p>
        </w:tc>
      </w:tr>
      <w:tr w:rsidR="00CB4928" w14:paraId="7321EF36" w14:textId="77777777" w:rsidTr="00BD7D85">
        <w:tc>
          <w:tcPr>
            <w:tcW w:w="2088" w:type="dxa"/>
          </w:tcPr>
          <w:p w14:paraId="403F2A0C" w14:textId="77777777" w:rsidR="00CB4928" w:rsidRPr="009065CE" w:rsidRDefault="00CB4928" w:rsidP="00CB4928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340" w:type="dxa"/>
          </w:tcPr>
          <w:p w14:paraId="523CE341" w14:textId="77777777" w:rsidR="00CB4928" w:rsidRDefault="003D4192" w:rsidP="00CB4928">
            <w:r>
              <w:t>Team Teaching</w:t>
            </w:r>
          </w:p>
        </w:tc>
        <w:tc>
          <w:tcPr>
            <w:tcW w:w="4353" w:type="dxa"/>
          </w:tcPr>
          <w:p w14:paraId="04E706BD" w14:textId="4EF99DF2" w:rsidR="00CB4928" w:rsidRDefault="000E117A" w:rsidP="00BD7D85">
            <w:pPr>
              <w:spacing w:after="120"/>
            </w:pPr>
            <w:r>
              <w:t xml:space="preserve">Give parents a synopsis of the activities used in this lesson. Ask them to continue the exploration of comparing volume at </w:t>
            </w:r>
            <w:r>
              <w:lastRenderedPageBreak/>
              <w:t>home (i.e.</w:t>
            </w:r>
            <w:r w:rsidR="000C6EAE">
              <w:t>,</w:t>
            </w:r>
            <w:r>
              <w:t xml:space="preserve"> </w:t>
            </w:r>
            <w:r w:rsidR="000C6EAE">
              <w:t>“</w:t>
            </w:r>
            <w:r>
              <w:t>I need to cook enough spaghetti for all of our family. Which pot should I use to boil the water?”)</w:t>
            </w:r>
          </w:p>
        </w:tc>
        <w:tc>
          <w:tcPr>
            <w:tcW w:w="4354" w:type="dxa"/>
          </w:tcPr>
          <w:p w14:paraId="2DFA3722" w14:textId="6F60B3F1" w:rsidR="00CB4928" w:rsidRDefault="003D4192" w:rsidP="00BD7D85">
            <w:pPr>
              <w:spacing w:after="120"/>
            </w:pPr>
            <w:r>
              <w:lastRenderedPageBreak/>
              <w:t>Same as GE</w:t>
            </w:r>
            <w:r w:rsidR="000C6EAE">
              <w:t>.</w:t>
            </w:r>
          </w:p>
        </w:tc>
      </w:tr>
    </w:tbl>
    <w:p w14:paraId="3B977AFA" w14:textId="6A64C079" w:rsidR="00476E09" w:rsidRPr="00A058B4" w:rsidRDefault="00476E09" w:rsidP="00476E09">
      <w:pPr>
        <w:pStyle w:val="Heading2"/>
      </w:pPr>
      <w:r>
        <w:t>Specially Designed Instruction</w:t>
      </w:r>
      <w:r w:rsidR="00BD7D85">
        <w:t xml:space="preserve"> </w:t>
      </w:r>
    </w:p>
    <w:p w14:paraId="3D55AB6D" w14:textId="5D19E5E8" w:rsidR="003D4192" w:rsidRPr="007A0967" w:rsidRDefault="008D264B" w:rsidP="00476E09">
      <w:pPr>
        <w:pStyle w:val="ListParagraph"/>
        <w:numPr>
          <w:ilvl w:val="0"/>
          <w:numId w:val="21"/>
        </w:numPr>
      </w:pPr>
      <w:r>
        <w:rPr>
          <w:rFonts w:eastAsia="Times New Roman"/>
          <w:kern w:val="0"/>
          <w:lang w:eastAsia="en-US" w:bidi="en-US"/>
        </w:rPr>
        <w:t>The teacher can provide r</w:t>
      </w:r>
      <w:r w:rsidR="003D4192">
        <w:rPr>
          <w:rFonts w:eastAsia="Times New Roman"/>
          <w:kern w:val="0"/>
          <w:lang w:eastAsia="en-US" w:bidi="en-US"/>
        </w:rPr>
        <w:t>epetitive practice for counting objects</w:t>
      </w:r>
    </w:p>
    <w:p w14:paraId="0C58B6FC" w14:textId="1DB9F038" w:rsidR="007A0967" w:rsidRDefault="008D264B" w:rsidP="00476E09">
      <w:pPr>
        <w:pStyle w:val="ListParagraph"/>
        <w:numPr>
          <w:ilvl w:val="0"/>
          <w:numId w:val="21"/>
        </w:numPr>
      </w:pPr>
      <w:r>
        <w:rPr>
          <w:rFonts w:eastAsia="Times New Roman"/>
          <w:kern w:val="0"/>
          <w:lang w:eastAsia="en-US" w:bidi="en-US"/>
        </w:rPr>
        <w:t>The teacher can provide d</w:t>
      </w:r>
      <w:r w:rsidR="007A0967">
        <w:rPr>
          <w:rFonts w:eastAsia="Times New Roman"/>
          <w:kern w:val="0"/>
          <w:lang w:eastAsia="en-US" w:bidi="en-US"/>
        </w:rPr>
        <w:t xml:space="preserve">irect instruction in math vocabulary (less, more, </w:t>
      </w:r>
      <w:proofErr w:type="spellStart"/>
      <w:r w:rsidR="007A0967">
        <w:rPr>
          <w:rFonts w:eastAsia="Times New Roman"/>
          <w:kern w:val="0"/>
          <w:lang w:eastAsia="en-US" w:bidi="en-US"/>
        </w:rPr>
        <w:t>etc</w:t>
      </w:r>
      <w:proofErr w:type="spellEnd"/>
      <w:r w:rsidR="007A0967">
        <w:rPr>
          <w:rFonts w:eastAsia="Times New Roman"/>
          <w:kern w:val="0"/>
          <w:lang w:eastAsia="en-US" w:bidi="en-US"/>
        </w:rPr>
        <w:t>)</w:t>
      </w:r>
    </w:p>
    <w:p w14:paraId="1A9E4FF0" w14:textId="3D6BE609" w:rsidR="00476E09" w:rsidRPr="00A058B4" w:rsidRDefault="00476E09" w:rsidP="00476E09">
      <w:pPr>
        <w:pStyle w:val="Heading2"/>
      </w:pPr>
      <w:r>
        <w:t>Accommodations</w:t>
      </w:r>
      <w:bookmarkStart w:id="0" w:name="_GoBack"/>
      <w:bookmarkEnd w:id="0"/>
    </w:p>
    <w:p w14:paraId="466D6DC6" w14:textId="77777777" w:rsidR="003D4192" w:rsidRDefault="003D4192" w:rsidP="003D4192">
      <w:pPr>
        <w:pStyle w:val="Bullet1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9DD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students with a number line to assist with counting objects. </w:t>
      </w:r>
    </w:p>
    <w:p w14:paraId="6F19189F" w14:textId="34E10407" w:rsidR="003D4192" w:rsidRDefault="003D4192" w:rsidP="003D4192">
      <w:pPr>
        <w:pStyle w:val="Bullet1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Noise-canceling headphones to eliminate extraneous noise</w:t>
      </w:r>
      <w:r w:rsidR="000C6EAE">
        <w:rPr>
          <w:rFonts w:ascii="Times New Roman" w:hAnsi="Times New Roman" w:cs="Times New Roman"/>
          <w:sz w:val="24"/>
          <w:szCs w:val="24"/>
        </w:rPr>
        <w:t>.</w:t>
      </w:r>
    </w:p>
    <w:p w14:paraId="30D287D8" w14:textId="02ACCA79" w:rsidR="003D4192" w:rsidRDefault="003D4192" w:rsidP="003D4192">
      <w:pPr>
        <w:pStyle w:val="Bullet1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seating arrangements for students needing it</w:t>
      </w:r>
      <w:r w:rsidR="000C6EAE">
        <w:rPr>
          <w:rFonts w:ascii="Times New Roman" w:hAnsi="Times New Roman" w:cs="Times New Roman"/>
          <w:sz w:val="24"/>
          <w:szCs w:val="24"/>
        </w:rPr>
        <w:t>.</w:t>
      </w:r>
    </w:p>
    <w:p w14:paraId="17B23B85" w14:textId="39E030B1" w:rsidR="003D4192" w:rsidRDefault="003D4192" w:rsidP="003D4192">
      <w:pPr>
        <w:pStyle w:val="Bullet1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Preferential seating for students who need to be near a teacher</w:t>
      </w:r>
      <w:r w:rsidR="000C6EAE">
        <w:rPr>
          <w:rFonts w:ascii="Times New Roman" w:hAnsi="Times New Roman" w:cs="Times New Roman"/>
          <w:sz w:val="24"/>
          <w:szCs w:val="24"/>
        </w:rPr>
        <w:t>.</w:t>
      </w:r>
    </w:p>
    <w:p w14:paraId="2BA20CD3" w14:textId="77777777" w:rsidR="008A59C4" w:rsidRPr="008A59C4" w:rsidRDefault="003D4192" w:rsidP="003D4192">
      <w:pPr>
        <w:pStyle w:val="Bullet1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manipulatives</w:t>
      </w:r>
      <w:r w:rsidR="008A59C4">
        <w:rPr>
          <w:rFonts w:ascii="Times New Roman" w:eastAsia="PMingLiU" w:hAnsi="Times New Roman" w:cs="Times New Roman"/>
          <w:kern w:val="2"/>
          <w:sz w:val="24"/>
          <w:szCs w:val="24"/>
          <w:lang w:eastAsia="zh-TW" w:bidi="ar-SA"/>
        </w:rPr>
        <w:t>.</w:t>
      </w:r>
    </w:p>
    <w:p w14:paraId="685AAF0E" w14:textId="77777777" w:rsidR="00476E09" w:rsidRDefault="00476E09" w:rsidP="00476E09">
      <w:pPr>
        <w:pStyle w:val="Heading2"/>
      </w:pPr>
      <w:r>
        <w:t>Modifications</w:t>
      </w:r>
    </w:p>
    <w:p w14:paraId="79FA8CD1" w14:textId="771B1367" w:rsidR="003D4192" w:rsidRPr="0070456A" w:rsidRDefault="003D4192" w:rsidP="001A6459">
      <w:pPr>
        <w:pStyle w:val="ListParagraph"/>
        <w:widowControl/>
        <w:numPr>
          <w:ilvl w:val="0"/>
          <w:numId w:val="15"/>
        </w:numPr>
        <w:ind w:left="720"/>
        <w:rPr>
          <w:rFonts w:asciiTheme="minorHAnsi" w:eastAsia="Times New Roman" w:hAnsiTheme="minorHAnsi" w:cstheme="minorHAnsi"/>
          <w:kern w:val="0"/>
          <w:lang w:eastAsia="en-US" w:bidi="en-US"/>
        </w:rPr>
      </w:pPr>
      <w:r w:rsidRPr="00DD51AF">
        <w:t xml:space="preserve">As always, </w:t>
      </w:r>
      <w:r w:rsidR="000C6EAE">
        <w:t>use</w:t>
      </w:r>
      <w:r w:rsidR="000C6EAE" w:rsidRPr="00DD51AF">
        <w:t xml:space="preserve"> </w:t>
      </w:r>
      <w:r w:rsidRPr="00DD51AF">
        <w:t xml:space="preserve">modifications as documented on </w:t>
      </w:r>
      <w:r>
        <w:t xml:space="preserve">specific </w:t>
      </w:r>
      <w:r w:rsidR="001B3D73">
        <w:t>s</w:t>
      </w:r>
      <w:r w:rsidR="001B3D73" w:rsidRPr="00DD51AF">
        <w:t>tudent IEP</w:t>
      </w:r>
      <w:r w:rsidR="001B3D73">
        <w:t>s.</w:t>
      </w:r>
    </w:p>
    <w:p w14:paraId="315B0D66" w14:textId="31B43344" w:rsidR="0070456A" w:rsidRPr="00351F39" w:rsidRDefault="0070456A" w:rsidP="001A6459">
      <w:pPr>
        <w:pStyle w:val="ListParagraph"/>
        <w:widowControl/>
        <w:numPr>
          <w:ilvl w:val="0"/>
          <w:numId w:val="15"/>
        </w:numPr>
        <w:ind w:left="720"/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t>Limit the number of objects student required to count</w:t>
      </w:r>
    </w:p>
    <w:p w14:paraId="41FB3345" w14:textId="77777777" w:rsidR="00476E09" w:rsidRDefault="00476E09" w:rsidP="00476E09">
      <w:pPr>
        <w:pStyle w:val="Heading2"/>
      </w:pPr>
      <w:r>
        <w:t>Notes</w:t>
      </w:r>
    </w:p>
    <w:p w14:paraId="5CEAB030" w14:textId="75951F3C" w:rsidR="001A6459" w:rsidRDefault="001A6459" w:rsidP="001A6459">
      <w:pPr>
        <w:pStyle w:val="ListParagraph"/>
        <w:numPr>
          <w:ilvl w:val="0"/>
          <w:numId w:val="17"/>
        </w:numPr>
      </w:pPr>
      <w:r w:rsidRPr="00CD2C60">
        <w:t xml:space="preserve">“Special </w:t>
      </w:r>
      <w:r w:rsidR="001866DD">
        <w:t>e</w:t>
      </w:r>
      <w:r w:rsidR="001866DD" w:rsidRPr="00CD2C60">
        <w:t>ducator</w:t>
      </w:r>
      <w:r w:rsidRPr="00CD2C60">
        <w:t xml:space="preserve">” as noted in this lesson plan might be an EL </w:t>
      </w:r>
      <w:r w:rsidR="001B3D73">
        <w:t>t</w:t>
      </w:r>
      <w:r w:rsidR="001B3D73" w:rsidRPr="00CD2C60">
        <w:t>eacher</w:t>
      </w:r>
      <w:r w:rsidRPr="00CD2C60">
        <w:t xml:space="preserve">, </w:t>
      </w:r>
      <w:r w:rsidR="001B3D73">
        <w:t>s</w:t>
      </w:r>
      <w:r w:rsidR="001B3D73" w:rsidRPr="00CD2C60">
        <w:t xml:space="preserve">peech </w:t>
      </w:r>
      <w:r w:rsidR="001B3D73">
        <w:t>p</w:t>
      </w:r>
      <w:r w:rsidR="001B3D73" w:rsidRPr="00CD2C60">
        <w:t>athologist</w:t>
      </w:r>
      <w:r w:rsidRPr="00CD2C60">
        <w:t xml:space="preserve">, or other specialist co-teaching with a </w:t>
      </w:r>
      <w:r w:rsidR="001B3D73">
        <w:t>g</w:t>
      </w:r>
      <w:r w:rsidR="001B3D73" w:rsidRPr="00CD2C60">
        <w:t xml:space="preserve">eneral </w:t>
      </w:r>
      <w:r w:rsidR="001B3D73">
        <w:t>e</w:t>
      </w:r>
      <w:r w:rsidR="001B3D73" w:rsidRPr="00CD2C60">
        <w:t>ducator</w:t>
      </w:r>
      <w:r>
        <w:t>.</w:t>
      </w:r>
    </w:p>
    <w:p w14:paraId="3275FE46" w14:textId="3D2457DF" w:rsidR="003D4192" w:rsidRDefault="003D4192" w:rsidP="001A6459">
      <w:pPr>
        <w:pStyle w:val="ListParagraph"/>
        <w:numPr>
          <w:ilvl w:val="0"/>
          <w:numId w:val="17"/>
        </w:numPr>
      </w:pPr>
      <w:r>
        <w:t xml:space="preserve">Enhancing the </w:t>
      </w:r>
      <w:r w:rsidR="001B3D73">
        <w:t>lesson</w:t>
      </w:r>
      <w:r>
        <w:t xml:space="preserve">: </w:t>
      </w:r>
      <w:r w:rsidR="001B3D73">
        <w:t xml:space="preserve">Use </w:t>
      </w:r>
      <w:r>
        <w:t>video clips found online that demonstrate volume at a preschool/kindergarten level</w:t>
      </w:r>
      <w:r w:rsidR="001B3D73">
        <w:t>.</w:t>
      </w:r>
    </w:p>
    <w:p w14:paraId="08448B4C" w14:textId="19C029E2" w:rsidR="00B95AE8" w:rsidRDefault="00476E09" w:rsidP="00BD7D85">
      <w:pPr>
        <w:pStyle w:val="Heading3"/>
        <w:spacing w:before="120"/>
      </w:pPr>
      <w:r w:rsidRPr="00476E09">
        <w:rPr>
          <w:b w:val="0"/>
        </w:rPr>
        <w:t>Virginia Department of Education</w:t>
      </w:r>
      <w:r w:rsidR="007D5AAD">
        <w:rPr>
          <w:b w:val="0"/>
        </w:rPr>
        <w:t xml:space="preserve"> </w:t>
      </w:r>
      <w:r w:rsidRPr="00476E09">
        <w:rPr>
          <w:b w:val="0"/>
        </w:rPr>
        <w:t>©</w:t>
      </w:r>
      <w:r w:rsidR="007D5AAD">
        <w:rPr>
          <w:b w:val="0"/>
        </w:rPr>
        <w:t xml:space="preserve"> </w:t>
      </w:r>
      <w:r w:rsidR="007D5AAD" w:rsidRPr="00476E09">
        <w:rPr>
          <w:b w:val="0"/>
        </w:rPr>
        <w:t>20</w:t>
      </w:r>
      <w:r w:rsidR="007D5AAD">
        <w:rPr>
          <w:b w:val="0"/>
        </w:rPr>
        <w:t>18</w:t>
      </w:r>
    </w:p>
    <w:sectPr w:rsidR="00B95AE8" w:rsidSect="00BD7D85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FD64F" w14:textId="77777777" w:rsidR="00503D2D" w:rsidRDefault="00503D2D" w:rsidP="00774BF2">
      <w:r>
        <w:separator/>
      </w:r>
    </w:p>
  </w:endnote>
  <w:endnote w:type="continuationSeparator" w:id="0">
    <w:p w14:paraId="31083BD0" w14:textId="77777777" w:rsidR="00503D2D" w:rsidRDefault="00503D2D" w:rsidP="007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B8E3" w14:textId="77777777" w:rsidR="00E70FC2" w:rsidRDefault="00E70FC2">
    <w:pPr>
      <w:pStyle w:val="Footer"/>
    </w:pPr>
  </w:p>
  <w:p w14:paraId="3C829E54" w14:textId="77777777" w:rsidR="00E70FC2" w:rsidRDefault="00E70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4D112" w14:textId="77777777" w:rsidR="00503D2D" w:rsidRDefault="00503D2D" w:rsidP="00774BF2">
      <w:r>
        <w:separator/>
      </w:r>
    </w:p>
  </w:footnote>
  <w:footnote w:type="continuationSeparator" w:id="0">
    <w:p w14:paraId="768EC1E2" w14:textId="77777777" w:rsidR="00503D2D" w:rsidRDefault="00503D2D" w:rsidP="0077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D85"/>
    <w:multiLevelType w:val="hybridMultilevel"/>
    <w:tmpl w:val="4890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3DF1"/>
    <w:multiLevelType w:val="hybridMultilevel"/>
    <w:tmpl w:val="F71A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B2B7D"/>
    <w:multiLevelType w:val="hybridMultilevel"/>
    <w:tmpl w:val="AA82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A296F"/>
    <w:multiLevelType w:val="hybridMultilevel"/>
    <w:tmpl w:val="BC0A4F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EB47D13"/>
    <w:multiLevelType w:val="hybridMultilevel"/>
    <w:tmpl w:val="2E9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2"/>
  </w:num>
  <w:num w:numId="12">
    <w:abstractNumId w:val="18"/>
  </w:num>
  <w:num w:numId="13">
    <w:abstractNumId w:val="21"/>
  </w:num>
  <w:num w:numId="14">
    <w:abstractNumId w:val="1"/>
  </w:num>
  <w:num w:numId="15">
    <w:abstractNumId w:val="17"/>
  </w:num>
  <w:num w:numId="16">
    <w:abstractNumId w:val="8"/>
  </w:num>
  <w:num w:numId="17">
    <w:abstractNumId w:val="16"/>
  </w:num>
  <w:num w:numId="18">
    <w:abstractNumId w:val="8"/>
  </w:num>
  <w:num w:numId="19">
    <w:abstractNumId w:val="11"/>
  </w:num>
  <w:num w:numId="20">
    <w:abstractNumId w:val="3"/>
  </w:num>
  <w:num w:numId="21">
    <w:abstractNumId w:val="4"/>
  </w:num>
  <w:num w:numId="22">
    <w:abstractNumId w:val="0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8"/>
    <w:rsid w:val="00005193"/>
    <w:rsid w:val="000106CD"/>
    <w:rsid w:val="00017C9C"/>
    <w:rsid w:val="00024268"/>
    <w:rsid w:val="000A3549"/>
    <w:rsid w:val="000A55A3"/>
    <w:rsid w:val="000C6E68"/>
    <w:rsid w:val="000C6EAE"/>
    <w:rsid w:val="000D12F4"/>
    <w:rsid w:val="000E117A"/>
    <w:rsid w:val="000E55FB"/>
    <w:rsid w:val="00103A14"/>
    <w:rsid w:val="00115633"/>
    <w:rsid w:val="00121F8F"/>
    <w:rsid w:val="001451D0"/>
    <w:rsid w:val="00151D52"/>
    <w:rsid w:val="00152131"/>
    <w:rsid w:val="00153BA3"/>
    <w:rsid w:val="001558CB"/>
    <w:rsid w:val="0018083C"/>
    <w:rsid w:val="00182F36"/>
    <w:rsid w:val="001866DD"/>
    <w:rsid w:val="001A0274"/>
    <w:rsid w:val="001A44FF"/>
    <w:rsid w:val="001A6459"/>
    <w:rsid w:val="001B3D73"/>
    <w:rsid w:val="001D5D44"/>
    <w:rsid w:val="002045A4"/>
    <w:rsid w:val="00205658"/>
    <w:rsid w:val="00222410"/>
    <w:rsid w:val="00252680"/>
    <w:rsid w:val="002562B6"/>
    <w:rsid w:val="0025660F"/>
    <w:rsid w:val="002645C4"/>
    <w:rsid w:val="00271DEA"/>
    <w:rsid w:val="002A1B95"/>
    <w:rsid w:val="002F6A14"/>
    <w:rsid w:val="0030291A"/>
    <w:rsid w:val="00335572"/>
    <w:rsid w:val="00351F39"/>
    <w:rsid w:val="003542E9"/>
    <w:rsid w:val="00354FC9"/>
    <w:rsid w:val="00376092"/>
    <w:rsid w:val="00390AA9"/>
    <w:rsid w:val="00395C7D"/>
    <w:rsid w:val="003B49F3"/>
    <w:rsid w:val="003B4D66"/>
    <w:rsid w:val="003B564E"/>
    <w:rsid w:val="003C48C8"/>
    <w:rsid w:val="003C4B57"/>
    <w:rsid w:val="003D0237"/>
    <w:rsid w:val="003D4192"/>
    <w:rsid w:val="003E61FC"/>
    <w:rsid w:val="00456996"/>
    <w:rsid w:val="00465B1A"/>
    <w:rsid w:val="00476E09"/>
    <w:rsid w:val="00497B6F"/>
    <w:rsid w:val="004A0B0A"/>
    <w:rsid w:val="004A0D6D"/>
    <w:rsid w:val="004A2F8D"/>
    <w:rsid w:val="004C28B8"/>
    <w:rsid w:val="004D0D3F"/>
    <w:rsid w:val="004F14BD"/>
    <w:rsid w:val="004F324C"/>
    <w:rsid w:val="00500BAA"/>
    <w:rsid w:val="00503D2D"/>
    <w:rsid w:val="005066DE"/>
    <w:rsid w:val="0051783C"/>
    <w:rsid w:val="00545D4A"/>
    <w:rsid w:val="00562831"/>
    <w:rsid w:val="00572C2B"/>
    <w:rsid w:val="00576193"/>
    <w:rsid w:val="005803DA"/>
    <w:rsid w:val="00586693"/>
    <w:rsid w:val="00586A2C"/>
    <w:rsid w:val="005D4FBB"/>
    <w:rsid w:val="005F71B5"/>
    <w:rsid w:val="0065543F"/>
    <w:rsid w:val="00660634"/>
    <w:rsid w:val="0066327C"/>
    <w:rsid w:val="006735E2"/>
    <w:rsid w:val="0067749F"/>
    <w:rsid w:val="0070456A"/>
    <w:rsid w:val="00716943"/>
    <w:rsid w:val="00720A4E"/>
    <w:rsid w:val="00750214"/>
    <w:rsid w:val="00774BF2"/>
    <w:rsid w:val="00784AFD"/>
    <w:rsid w:val="00796677"/>
    <w:rsid w:val="007A0967"/>
    <w:rsid w:val="007A13D7"/>
    <w:rsid w:val="007A3078"/>
    <w:rsid w:val="007C26A5"/>
    <w:rsid w:val="007D30B6"/>
    <w:rsid w:val="007D5AAD"/>
    <w:rsid w:val="007E2E92"/>
    <w:rsid w:val="007E68DB"/>
    <w:rsid w:val="007F268B"/>
    <w:rsid w:val="00805F3D"/>
    <w:rsid w:val="00855854"/>
    <w:rsid w:val="008612BE"/>
    <w:rsid w:val="00867493"/>
    <w:rsid w:val="00884101"/>
    <w:rsid w:val="00885417"/>
    <w:rsid w:val="008A59C4"/>
    <w:rsid w:val="008B47CE"/>
    <w:rsid w:val="008C2ACB"/>
    <w:rsid w:val="008D1DDB"/>
    <w:rsid w:val="008D264B"/>
    <w:rsid w:val="008D785B"/>
    <w:rsid w:val="008E6DAD"/>
    <w:rsid w:val="008E77A6"/>
    <w:rsid w:val="008F07A5"/>
    <w:rsid w:val="00902DE3"/>
    <w:rsid w:val="009065CE"/>
    <w:rsid w:val="00916069"/>
    <w:rsid w:val="00922A87"/>
    <w:rsid w:val="00924AA8"/>
    <w:rsid w:val="00931D19"/>
    <w:rsid w:val="009341F0"/>
    <w:rsid w:val="00935287"/>
    <w:rsid w:val="009424CC"/>
    <w:rsid w:val="00942605"/>
    <w:rsid w:val="00953ED4"/>
    <w:rsid w:val="00953FC7"/>
    <w:rsid w:val="00960463"/>
    <w:rsid w:val="00965536"/>
    <w:rsid w:val="00975754"/>
    <w:rsid w:val="00975DE5"/>
    <w:rsid w:val="00976105"/>
    <w:rsid w:val="00987C0C"/>
    <w:rsid w:val="009A16DF"/>
    <w:rsid w:val="009E62B1"/>
    <w:rsid w:val="00A01CEC"/>
    <w:rsid w:val="00A058B4"/>
    <w:rsid w:val="00A323D8"/>
    <w:rsid w:val="00A36C22"/>
    <w:rsid w:val="00A653E6"/>
    <w:rsid w:val="00A7358E"/>
    <w:rsid w:val="00A74F53"/>
    <w:rsid w:val="00A75DD1"/>
    <w:rsid w:val="00A76969"/>
    <w:rsid w:val="00A96EBE"/>
    <w:rsid w:val="00AA05DA"/>
    <w:rsid w:val="00AA0D0E"/>
    <w:rsid w:val="00AA3493"/>
    <w:rsid w:val="00AA4502"/>
    <w:rsid w:val="00AA6B7A"/>
    <w:rsid w:val="00AC01F8"/>
    <w:rsid w:val="00AC39F3"/>
    <w:rsid w:val="00AD08D6"/>
    <w:rsid w:val="00AD2013"/>
    <w:rsid w:val="00AE0361"/>
    <w:rsid w:val="00AE2C0E"/>
    <w:rsid w:val="00AE44C4"/>
    <w:rsid w:val="00AF35C6"/>
    <w:rsid w:val="00B22882"/>
    <w:rsid w:val="00B22983"/>
    <w:rsid w:val="00B32A5F"/>
    <w:rsid w:val="00B32D2A"/>
    <w:rsid w:val="00B4278B"/>
    <w:rsid w:val="00B55B18"/>
    <w:rsid w:val="00B55D67"/>
    <w:rsid w:val="00B67FBF"/>
    <w:rsid w:val="00B730AF"/>
    <w:rsid w:val="00B95AE8"/>
    <w:rsid w:val="00B95BE3"/>
    <w:rsid w:val="00B96418"/>
    <w:rsid w:val="00BA169F"/>
    <w:rsid w:val="00BA4F2C"/>
    <w:rsid w:val="00BD7D85"/>
    <w:rsid w:val="00BF046F"/>
    <w:rsid w:val="00C06B7A"/>
    <w:rsid w:val="00C13064"/>
    <w:rsid w:val="00C1405E"/>
    <w:rsid w:val="00C478E7"/>
    <w:rsid w:val="00C50389"/>
    <w:rsid w:val="00C54491"/>
    <w:rsid w:val="00C60F96"/>
    <w:rsid w:val="00C65A0A"/>
    <w:rsid w:val="00C70E99"/>
    <w:rsid w:val="00C9350C"/>
    <w:rsid w:val="00CB3241"/>
    <w:rsid w:val="00CB4928"/>
    <w:rsid w:val="00CC12F5"/>
    <w:rsid w:val="00CC6596"/>
    <w:rsid w:val="00CD2C60"/>
    <w:rsid w:val="00CE6CE9"/>
    <w:rsid w:val="00CF2234"/>
    <w:rsid w:val="00D03428"/>
    <w:rsid w:val="00D073E0"/>
    <w:rsid w:val="00D11590"/>
    <w:rsid w:val="00D34644"/>
    <w:rsid w:val="00D36B6B"/>
    <w:rsid w:val="00D50FB1"/>
    <w:rsid w:val="00D561CF"/>
    <w:rsid w:val="00D953F1"/>
    <w:rsid w:val="00DC34B1"/>
    <w:rsid w:val="00DE7C23"/>
    <w:rsid w:val="00E178BF"/>
    <w:rsid w:val="00E300A8"/>
    <w:rsid w:val="00E3045B"/>
    <w:rsid w:val="00E40032"/>
    <w:rsid w:val="00E439CC"/>
    <w:rsid w:val="00E45A8B"/>
    <w:rsid w:val="00E70FC2"/>
    <w:rsid w:val="00E758AB"/>
    <w:rsid w:val="00E77516"/>
    <w:rsid w:val="00E83807"/>
    <w:rsid w:val="00EA1319"/>
    <w:rsid w:val="00ED012E"/>
    <w:rsid w:val="00ED2A25"/>
    <w:rsid w:val="00EF1E8E"/>
    <w:rsid w:val="00F14257"/>
    <w:rsid w:val="00F1433B"/>
    <w:rsid w:val="00F44FAD"/>
    <w:rsid w:val="00F468B2"/>
    <w:rsid w:val="00F52057"/>
    <w:rsid w:val="00F57421"/>
    <w:rsid w:val="00F948BF"/>
    <w:rsid w:val="00FB0DF8"/>
    <w:rsid w:val="00FB3BB6"/>
    <w:rsid w:val="00FD3D3E"/>
    <w:rsid w:val="00FF546C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B6CB0D"/>
  <w15:docId w15:val="{EB935CDF-353A-4591-A3C8-F1721081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AAD"/>
    <w:p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5AAD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paragraph" w:customStyle="1" w:styleId="SOLNumber">
    <w:name w:val="SOL Number"/>
    <w:basedOn w:val="Normal"/>
    <w:next w:val="Normal"/>
    <w:rsid w:val="00CB4928"/>
    <w:pPr>
      <w:keepLines/>
      <w:widowControl/>
      <w:spacing w:before="100"/>
      <w:ind w:left="907" w:hanging="907"/>
    </w:pPr>
    <w:rPr>
      <w:rFonts w:eastAsia="Times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7C760-EE89-4885-9490-F6C4041E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5586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http://www.esc17.net/users/0209/GuidelinesforCoTeachinginTexas.pdf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advantage of the talents of two teachers.</dc:title>
  <dc:creator>Sroda</dc:creator>
  <cp:lastModifiedBy>Hope, Kristin (DOE)</cp:lastModifiedBy>
  <cp:revision>4</cp:revision>
  <cp:lastPrinted>2014-06-16T14:34:00Z</cp:lastPrinted>
  <dcterms:created xsi:type="dcterms:W3CDTF">2018-08-20T15:13:00Z</dcterms:created>
  <dcterms:modified xsi:type="dcterms:W3CDTF">2018-08-22T14:03:00Z</dcterms:modified>
</cp:coreProperties>
</file>