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BDED" w14:textId="77777777" w:rsidR="003D2C18" w:rsidRPr="00AA22DD" w:rsidRDefault="004861E5" w:rsidP="00AA22DD">
      <w:pPr>
        <w:pStyle w:val="Heading1"/>
        <w:spacing w:after="0" w:line="240" w:lineRule="auto"/>
        <w:jc w:val="center"/>
        <w:rPr>
          <w:sz w:val="32"/>
          <w:szCs w:val="32"/>
        </w:rPr>
      </w:pPr>
      <w:r w:rsidRPr="00AA22DD">
        <w:rPr>
          <w:sz w:val="32"/>
          <w:szCs w:val="32"/>
        </w:rPr>
        <w:t>Chronic Absenteeism</w:t>
      </w:r>
      <w:r w:rsidR="00CB3269" w:rsidRPr="00AA22DD">
        <w:rPr>
          <w:sz w:val="32"/>
          <w:szCs w:val="32"/>
        </w:rPr>
        <w:t>:</w:t>
      </w:r>
    </w:p>
    <w:p w14:paraId="79F3EA9C" w14:textId="77777777" w:rsidR="00162429" w:rsidRPr="00AA22DD" w:rsidRDefault="004861E5" w:rsidP="00AA22DD">
      <w:pPr>
        <w:pStyle w:val="Heading2"/>
        <w:spacing w:before="0" w:beforeAutospacing="0" w:after="0" w:afterAutospacing="0"/>
        <w:jc w:val="center"/>
      </w:pPr>
      <w:r w:rsidRPr="00AA22DD">
        <w:t>Frequently</w:t>
      </w:r>
      <w:r w:rsidRPr="00402C65">
        <w:t xml:space="preserve"> Asked Questions</w:t>
      </w:r>
    </w:p>
    <w:p w14:paraId="1D7C67BF" w14:textId="77777777" w:rsidR="004861E5" w:rsidRDefault="004861E5" w:rsidP="00380F6A">
      <w:pPr>
        <w:spacing w:after="0" w:line="240" w:lineRule="auto"/>
        <w:rPr>
          <w:rFonts w:ascii="Times New Roman" w:hAnsi="Times New Roman" w:cs="Times New Roman"/>
        </w:rPr>
      </w:pPr>
    </w:p>
    <w:p w14:paraId="6CE1F10B" w14:textId="7734C2D3" w:rsidR="004E5D85" w:rsidRPr="0066085F" w:rsidRDefault="004E5D85" w:rsidP="00380F6A">
      <w:pPr>
        <w:spacing w:after="0" w:line="240" w:lineRule="auto"/>
        <w:rPr>
          <w:rFonts w:ascii="Times New Roman" w:hAnsi="Times New Roman" w:cs="Times New Roman"/>
          <w:sz w:val="24"/>
          <w:szCs w:val="24"/>
        </w:rPr>
      </w:pPr>
      <w:bookmarkStart w:id="0" w:name="_What_is_the"/>
      <w:bookmarkEnd w:id="0"/>
    </w:p>
    <w:p w14:paraId="08594BAE" w14:textId="77777777" w:rsidR="004C1B58" w:rsidRPr="0066085F" w:rsidRDefault="004C1B58" w:rsidP="004C1B58">
      <w:pPr>
        <w:pStyle w:val="Heading2"/>
        <w:rPr>
          <w:sz w:val="24"/>
          <w:szCs w:val="24"/>
        </w:rPr>
      </w:pPr>
      <w:bookmarkStart w:id="1" w:name="_What_is_the_1"/>
      <w:bookmarkEnd w:id="1"/>
      <w:r w:rsidRPr="0066085F">
        <w:rPr>
          <w:sz w:val="24"/>
          <w:szCs w:val="24"/>
        </w:rPr>
        <w:t>What is Chronic Absenteeism?</w:t>
      </w:r>
    </w:p>
    <w:p w14:paraId="64B90AB4" w14:textId="056B1D5C" w:rsidR="004C1B58" w:rsidRDefault="004C1B58" w:rsidP="004C1B58">
      <w:pPr>
        <w:spacing w:after="120" w:line="276" w:lineRule="auto"/>
        <w:contextualSpacing/>
        <w:rPr>
          <w:rFonts w:ascii="Times New Roman" w:eastAsia="Times New Roman" w:hAnsi="Times New Roman" w:cs="Times New Roman"/>
          <w:color w:val="000000"/>
          <w:sz w:val="24"/>
          <w:szCs w:val="24"/>
        </w:rPr>
      </w:pPr>
      <w:r w:rsidRPr="0066085F">
        <w:rPr>
          <w:rFonts w:ascii="Times New Roman" w:hAnsi="Times New Roman" w:cs="Times New Roman"/>
          <w:sz w:val="24"/>
          <w:szCs w:val="24"/>
        </w:rPr>
        <w:t xml:space="preserve">Chronic absenteeism is defined as missing 10 percent or more of the school year, regardless of reason. Chronic absenteeism includes excused and unexcused absences. For accountability purposes, </w:t>
      </w:r>
      <w:r w:rsidRPr="0066085F">
        <w:rPr>
          <w:rFonts w:ascii="Times New Roman" w:eastAsia="Times New Roman" w:hAnsi="Times New Roman" w:cs="Times New Roman"/>
          <w:color w:val="000000"/>
          <w:sz w:val="24"/>
          <w:szCs w:val="24"/>
        </w:rPr>
        <w:t>students with a chronic absenteeism rate of 10.00 percent or greater are chronically absent.</w:t>
      </w:r>
    </w:p>
    <w:p w14:paraId="7951FDBA" w14:textId="77777777" w:rsidR="004C1B58" w:rsidRDefault="004C1B58" w:rsidP="004C1B58">
      <w:pPr>
        <w:spacing w:after="120" w:line="276" w:lineRule="auto"/>
        <w:contextualSpacing/>
        <w:rPr>
          <w:rFonts w:ascii="Times New Roman" w:eastAsia="Times New Roman" w:hAnsi="Times New Roman" w:cs="Times New Roman"/>
          <w:color w:val="000000"/>
          <w:sz w:val="24"/>
          <w:szCs w:val="24"/>
        </w:rPr>
      </w:pPr>
    </w:p>
    <w:p w14:paraId="32E9269D" w14:textId="7F4B1C65" w:rsidR="00487C66" w:rsidRPr="0066085F" w:rsidRDefault="00487C66" w:rsidP="00AA22DD">
      <w:pPr>
        <w:pStyle w:val="Heading2"/>
        <w:rPr>
          <w:b w:val="0"/>
          <w:sz w:val="24"/>
          <w:szCs w:val="24"/>
        </w:rPr>
      </w:pPr>
      <w:r w:rsidRPr="0066085F">
        <w:rPr>
          <w:sz w:val="24"/>
          <w:szCs w:val="24"/>
        </w:rPr>
        <w:t>What is the Virginia Standards of Accreditation</w:t>
      </w:r>
      <w:r w:rsidRPr="0066085F">
        <w:rPr>
          <w:b w:val="0"/>
          <w:sz w:val="24"/>
          <w:szCs w:val="24"/>
        </w:rPr>
        <w:t>?</w:t>
      </w:r>
    </w:p>
    <w:p w14:paraId="357B1300" w14:textId="77777777" w:rsidR="00487C66" w:rsidRPr="0066085F" w:rsidRDefault="00E54D34" w:rsidP="00FE70B8">
      <w:pPr>
        <w:shd w:val="clear" w:color="auto" w:fill="FFFFFF"/>
        <w:spacing w:after="120" w:line="276" w:lineRule="auto"/>
        <w:contextualSpacing/>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 xml:space="preserve">The </w:t>
      </w:r>
      <w:r w:rsidR="00487C66" w:rsidRPr="0066085F">
        <w:rPr>
          <w:rFonts w:ascii="Times New Roman" w:eastAsia="Times New Roman" w:hAnsi="Times New Roman" w:cs="Times New Roman"/>
          <w:color w:val="000000"/>
          <w:sz w:val="24"/>
          <w:szCs w:val="24"/>
        </w:rPr>
        <w:t>Virginia Board of Education's </w:t>
      </w:r>
      <w:r w:rsidR="00487C66" w:rsidRPr="0066085F">
        <w:rPr>
          <w:rFonts w:ascii="Times New Roman" w:eastAsia="Times New Roman" w:hAnsi="Times New Roman" w:cs="Times New Roman"/>
          <w:i/>
          <w:iCs/>
          <w:color w:val="000000"/>
          <w:sz w:val="24"/>
          <w:szCs w:val="24"/>
        </w:rPr>
        <w:t>Regulations Establishing Standards for Accrediting Public Schools in Virginia</w:t>
      </w:r>
      <w:r w:rsidR="00487C66" w:rsidRPr="0066085F">
        <w:rPr>
          <w:rFonts w:ascii="Times New Roman" w:eastAsia="Times New Roman" w:hAnsi="Times New Roman" w:cs="Times New Roman"/>
          <w:color w:val="000000"/>
          <w:sz w:val="24"/>
          <w:szCs w:val="24"/>
        </w:rPr>
        <w:t> are designed to ensure that an effective educational program is established and maintained in Virginia's public schools. The accreditation standards:</w:t>
      </w:r>
    </w:p>
    <w:p w14:paraId="4D94C928" w14:textId="77777777" w:rsidR="00487C66" w:rsidRPr="0066085F" w:rsidRDefault="00487C66" w:rsidP="00FE70B8">
      <w:pPr>
        <w:numPr>
          <w:ilvl w:val="0"/>
          <w:numId w:val="1"/>
        </w:numPr>
        <w:shd w:val="clear" w:color="auto" w:fill="FFFFFF"/>
        <w:spacing w:after="120" w:line="276" w:lineRule="auto"/>
        <w:ind w:left="450"/>
        <w:contextualSpacing/>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Provide an essential foundation of educational programs of high quality in all schools for all students</w:t>
      </w:r>
      <w:r w:rsidR="00E54D34" w:rsidRPr="0066085F">
        <w:rPr>
          <w:rFonts w:ascii="Times New Roman" w:eastAsia="Times New Roman" w:hAnsi="Times New Roman" w:cs="Times New Roman"/>
          <w:color w:val="000000"/>
          <w:sz w:val="24"/>
          <w:szCs w:val="24"/>
        </w:rPr>
        <w:t>;</w:t>
      </w:r>
    </w:p>
    <w:p w14:paraId="5FF5DB6C" w14:textId="77777777" w:rsidR="00487C66" w:rsidRPr="0066085F" w:rsidRDefault="00487C66" w:rsidP="00FE70B8">
      <w:pPr>
        <w:numPr>
          <w:ilvl w:val="0"/>
          <w:numId w:val="1"/>
        </w:numPr>
        <w:shd w:val="clear" w:color="auto" w:fill="FFFFFF"/>
        <w:spacing w:after="120" w:line="276" w:lineRule="auto"/>
        <w:ind w:left="450"/>
        <w:contextualSpacing/>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Encourage continuous appraisal and improvement of the school program for the purpose of raising student achievement</w:t>
      </w:r>
      <w:r w:rsidR="00E54D34" w:rsidRPr="0066085F">
        <w:rPr>
          <w:rFonts w:ascii="Times New Roman" w:eastAsia="Times New Roman" w:hAnsi="Times New Roman" w:cs="Times New Roman"/>
          <w:color w:val="000000"/>
          <w:sz w:val="24"/>
          <w:szCs w:val="24"/>
        </w:rPr>
        <w:t>;</w:t>
      </w:r>
    </w:p>
    <w:p w14:paraId="75EF9A8B" w14:textId="77777777" w:rsidR="00487C66" w:rsidRPr="0066085F" w:rsidRDefault="00487C66" w:rsidP="00FE70B8">
      <w:pPr>
        <w:numPr>
          <w:ilvl w:val="0"/>
          <w:numId w:val="1"/>
        </w:numPr>
        <w:shd w:val="clear" w:color="auto" w:fill="FFFFFF"/>
        <w:spacing w:after="120" w:line="276" w:lineRule="auto"/>
        <w:ind w:left="450"/>
        <w:contextualSpacing/>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Foster public confidence</w:t>
      </w:r>
      <w:r w:rsidR="00E54D34" w:rsidRPr="0066085F">
        <w:rPr>
          <w:rFonts w:ascii="Times New Roman" w:eastAsia="Times New Roman" w:hAnsi="Times New Roman" w:cs="Times New Roman"/>
          <w:color w:val="000000"/>
          <w:sz w:val="24"/>
          <w:szCs w:val="24"/>
        </w:rPr>
        <w:t>;</w:t>
      </w:r>
    </w:p>
    <w:p w14:paraId="0408BE4F" w14:textId="77777777" w:rsidR="00487C66" w:rsidRPr="0066085F" w:rsidRDefault="00487C66" w:rsidP="00FE70B8">
      <w:pPr>
        <w:numPr>
          <w:ilvl w:val="0"/>
          <w:numId w:val="1"/>
        </w:numPr>
        <w:shd w:val="clear" w:color="auto" w:fill="FFFFFF"/>
        <w:spacing w:after="120" w:line="276" w:lineRule="auto"/>
        <w:ind w:left="450"/>
        <w:contextualSpacing/>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Assure recognition of Virginia's public schools by other institutions of learning</w:t>
      </w:r>
      <w:r w:rsidR="00E54D34" w:rsidRPr="0066085F">
        <w:rPr>
          <w:rFonts w:ascii="Times New Roman" w:eastAsia="Times New Roman" w:hAnsi="Times New Roman" w:cs="Times New Roman"/>
          <w:color w:val="000000"/>
          <w:sz w:val="24"/>
          <w:szCs w:val="24"/>
        </w:rPr>
        <w:t>; and</w:t>
      </w:r>
    </w:p>
    <w:p w14:paraId="5E79A142" w14:textId="77777777" w:rsidR="00487C66" w:rsidRPr="0066085F" w:rsidRDefault="00487C66" w:rsidP="00FE70B8">
      <w:pPr>
        <w:numPr>
          <w:ilvl w:val="0"/>
          <w:numId w:val="1"/>
        </w:numPr>
        <w:shd w:val="clear" w:color="auto" w:fill="FFFFFF"/>
        <w:spacing w:after="120" w:line="276" w:lineRule="auto"/>
        <w:ind w:left="446"/>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Establish a means of determining the effectiveness of schools.</w:t>
      </w:r>
    </w:p>
    <w:p w14:paraId="7B2C4288" w14:textId="659291CD" w:rsidR="00487C66" w:rsidRDefault="00487C66" w:rsidP="00FE70B8">
      <w:pPr>
        <w:spacing w:after="120" w:line="276" w:lineRule="auto"/>
        <w:contextualSpacing/>
        <w:rPr>
          <w:rFonts w:ascii="Times New Roman" w:hAnsi="Times New Roman" w:cs="Times New Roman"/>
          <w:color w:val="000000"/>
          <w:shd w:val="clear" w:color="auto" w:fill="FFFFFF"/>
        </w:rPr>
      </w:pPr>
      <w:r w:rsidRPr="006E688E">
        <w:rPr>
          <w:rFonts w:ascii="Times New Roman" w:hAnsi="Times New Roman" w:cs="Times New Roman"/>
          <w:color w:val="000000"/>
          <w:shd w:val="clear" w:color="auto" w:fill="FFFFFF"/>
        </w:rPr>
        <w:t xml:space="preserve">The Board of Education’s 2017 </w:t>
      </w:r>
      <w:hyperlink r:id="rId7" w:history="1">
        <w:r w:rsidRPr="006E688E">
          <w:rPr>
            <w:rStyle w:val="Hyperlink"/>
            <w:rFonts w:ascii="Times New Roman" w:hAnsi="Times New Roman" w:cs="Times New Roman"/>
            <w:shd w:val="clear" w:color="auto" w:fill="FFFFFF"/>
          </w:rPr>
          <w:t>Standards of Accreditation</w:t>
        </w:r>
      </w:hyperlink>
      <w:r w:rsidRPr="006E688E">
        <w:rPr>
          <w:rFonts w:ascii="Times New Roman" w:hAnsi="Times New Roman" w:cs="Times New Roman"/>
          <w:color w:val="000000"/>
          <w:shd w:val="clear" w:color="auto" w:fill="FFFFFF"/>
        </w:rPr>
        <w:t xml:space="preserve"> (SOA) support continuous improvement for all schools, and college, career and civic readiness for all students. The revisions include graduation requirements aligned with the Profile of a Virginia Graduate and school accreditation standards that include new measures of quality and performance.</w:t>
      </w:r>
    </w:p>
    <w:p w14:paraId="42F0435C" w14:textId="77777777" w:rsidR="004C1B58" w:rsidRDefault="004C1B58" w:rsidP="00FE70B8">
      <w:pPr>
        <w:spacing w:after="120" w:line="276" w:lineRule="auto"/>
        <w:contextualSpacing/>
        <w:rPr>
          <w:rFonts w:ascii="Times New Roman" w:hAnsi="Times New Roman" w:cs="Times New Roman"/>
          <w:color w:val="000000"/>
          <w:shd w:val="clear" w:color="auto" w:fill="FFFFFF"/>
        </w:rPr>
      </w:pPr>
    </w:p>
    <w:p w14:paraId="5E52374F" w14:textId="59310183" w:rsidR="004C1B58" w:rsidRPr="0066085F" w:rsidRDefault="004C1B58" w:rsidP="004C1B58">
      <w:pPr>
        <w:pStyle w:val="Heading2"/>
        <w:rPr>
          <w:sz w:val="24"/>
          <w:szCs w:val="24"/>
        </w:rPr>
      </w:pPr>
      <w:r w:rsidRPr="0066085F">
        <w:rPr>
          <w:sz w:val="24"/>
          <w:szCs w:val="24"/>
        </w:rPr>
        <w:t xml:space="preserve">How is Chronic Absenteeism a part of the Virginia Standards of Accreditation? </w:t>
      </w:r>
    </w:p>
    <w:p w14:paraId="1320A740" w14:textId="77777777" w:rsidR="004C1B58" w:rsidRPr="0066085F" w:rsidRDefault="004C1B58" w:rsidP="004C1B58">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 xml:space="preserve">In combination with </w:t>
      </w:r>
      <w:r w:rsidRPr="0066085F">
        <w:rPr>
          <w:rFonts w:ascii="Times New Roman" w:hAnsi="Times New Roman" w:cs="Times New Roman"/>
          <w:i/>
          <w:sz w:val="24"/>
          <w:szCs w:val="24"/>
        </w:rPr>
        <w:t>Graduation and Completion Index (high schools), Dropout Rate (high schools), and College, Career and Civic Readiness (high schools)</w:t>
      </w:r>
      <w:r w:rsidRPr="0066085F">
        <w:rPr>
          <w:rFonts w:ascii="Times New Roman" w:hAnsi="Times New Roman" w:cs="Times New Roman"/>
          <w:sz w:val="24"/>
          <w:szCs w:val="24"/>
        </w:rPr>
        <w:t xml:space="preserve">, Virginia joined </w:t>
      </w:r>
      <w:hyperlink r:id="rId8" w:history="1">
        <w:r w:rsidRPr="0066085F">
          <w:rPr>
            <w:rStyle w:val="Hyperlink"/>
            <w:rFonts w:ascii="Times New Roman" w:hAnsi="Times New Roman" w:cs="Times New Roman"/>
            <w:sz w:val="24"/>
            <w:szCs w:val="24"/>
          </w:rPr>
          <w:t>35 states</w:t>
        </w:r>
      </w:hyperlink>
      <w:r w:rsidRPr="0066085F">
        <w:rPr>
          <w:rFonts w:ascii="Times New Roman" w:hAnsi="Times New Roman" w:cs="Times New Roman"/>
          <w:sz w:val="24"/>
          <w:szCs w:val="24"/>
        </w:rPr>
        <w:t xml:space="preserve"> to use chronic absenteeism as a </w:t>
      </w:r>
      <w:hyperlink r:id="rId9" w:history="1">
        <w:r w:rsidRPr="0066085F">
          <w:rPr>
            <w:rStyle w:val="Hyperlink"/>
            <w:rFonts w:ascii="Times New Roman" w:hAnsi="Times New Roman" w:cs="Times New Roman"/>
            <w:sz w:val="24"/>
            <w:szCs w:val="24"/>
          </w:rPr>
          <w:t>School Quality Indicator</w:t>
        </w:r>
      </w:hyperlink>
      <w:r w:rsidRPr="0066085F">
        <w:rPr>
          <w:rFonts w:ascii="Times New Roman" w:hAnsi="Times New Roman" w:cs="Times New Roman"/>
          <w:sz w:val="24"/>
          <w:szCs w:val="24"/>
        </w:rPr>
        <w:t xml:space="preserve"> to measure student engagement.</w:t>
      </w:r>
    </w:p>
    <w:p w14:paraId="59E76296" w14:textId="3177B1C7" w:rsidR="004C1B58" w:rsidRDefault="004C1B58" w:rsidP="00FE70B8">
      <w:pPr>
        <w:spacing w:after="120" w:line="276" w:lineRule="auto"/>
        <w:contextualSpacing/>
        <w:rPr>
          <w:rFonts w:ascii="Times New Roman" w:hAnsi="Times New Roman" w:cs="Times New Roman"/>
          <w:b/>
        </w:rPr>
      </w:pPr>
    </w:p>
    <w:p w14:paraId="57EBDDA2" w14:textId="4D17DC88" w:rsidR="004C1B58" w:rsidRDefault="004C1B58" w:rsidP="00FE70B8">
      <w:pPr>
        <w:spacing w:after="120" w:line="276" w:lineRule="auto"/>
        <w:contextualSpacing/>
        <w:rPr>
          <w:rFonts w:ascii="Times New Roman" w:hAnsi="Times New Roman" w:cs="Times New Roman"/>
          <w:b/>
        </w:rPr>
      </w:pPr>
    </w:p>
    <w:p w14:paraId="2774291F" w14:textId="6BB836F6" w:rsidR="004C1B58" w:rsidRDefault="004C1B58" w:rsidP="00FE70B8">
      <w:pPr>
        <w:spacing w:after="120" w:line="276" w:lineRule="auto"/>
        <w:contextualSpacing/>
        <w:rPr>
          <w:rFonts w:ascii="Times New Roman" w:hAnsi="Times New Roman" w:cs="Times New Roman"/>
          <w:b/>
        </w:rPr>
      </w:pPr>
    </w:p>
    <w:p w14:paraId="15216671" w14:textId="77777777" w:rsidR="00E210DA" w:rsidRDefault="00E210DA" w:rsidP="00FE70B8">
      <w:pPr>
        <w:spacing w:after="120" w:line="276" w:lineRule="auto"/>
        <w:contextualSpacing/>
        <w:rPr>
          <w:rFonts w:ascii="Times New Roman" w:hAnsi="Times New Roman" w:cs="Times New Roman"/>
          <w:b/>
        </w:rPr>
      </w:pPr>
    </w:p>
    <w:p w14:paraId="083EA2CA" w14:textId="77777777" w:rsidR="00487C66" w:rsidRPr="0066085F" w:rsidRDefault="00487C66" w:rsidP="00AA22DD">
      <w:pPr>
        <w:pStyle w:val="Heading2"/>
        <w:rPr>
          <w:sz w:val="24"/>
          <w:szCs w:val="24"/>
        </w:rPr>
      </w:pPr>
      <w:bookmarkStart w:id="2" w:name="_How_are_schools_1"/>
      <w:bookmarkEnd w:id="2"/>
      <w:r w:rsidRPr="0066085F">
        <w:rPr>
          <w:sz w:val="24"/>
          <w:szCs w:val="24"/>
        </w:rPr>
        <w:lastRenderedPageBreak/>
        <w:t>How are schools rated under the new Virginia Standards of Accreditation?</w:t>
      </w:r>
    </w:p>
    <w:p w14:paraId="65F7CE83" w14:textId="77777777" w:rsidR="00487C66" w:rsidRPr="0066085F" w:rsidRDefault="00487C66" w:rsidP="00FE70B8">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 xml:space="preserve">The </w:t>
      </w:r>
      <w:hyperlink r:id="rId10" w:history="1">
        <w:r w:rsidRPr="0066085F">
          <w:rPr>
            <w:rStyle w:val="Hyperlink"/>
            <w:rFonts w:ascii="Times New Roman" w:hAnsi="Times New Roman" w:cs="Times New Roman"/>
            <w:sz w:val="24"/>
            <w:szCs w:val="24"/>
          </w:rPr>
          <w:t>revised SOA</w:t>
        </w:r>
      </w:hyperlink>
      <w:r w:rsidRPr="0066085F">
        <w:rPr>
          <w:rFonts w:ascii="Times New Roman" w:hAnsi="Times New Roman" w:cs="Times New Roman"/>
          <w:sz w:val="24"/>
          <w:szCs w:val="24"/>
        </w:rPr>
        <w:t xml:space="preserve"> simplifies the </w:t>
      </w:r>
      <w:r w:rsidR="00755F11" w:rsidRPr="0066085F">
        <w:rPr>
          <w:rFonts w:ascii="Times New Roman" w:hAnsi="Times New Roman" w:cs="Times New Roman"/>
          <w:sz w:val="24"/>
          <w:szCs w:val="24"/>
        </w:rPr>
        <w:t>C</w:t>
      </w:r>
      <w:r w:rsidRPr="0066085F">
        <w:rPr>
          <w:rFonts w:ascii="Times New Roman" w:hAnsi="Times New Roman" w:cs="Times New Roman"/>
          <w:sz w:val="24"/>
          <w:szCs w:val="24"/>
        </w:rPr>
        <w:t xml:space="preserve">ommonwealth’s accountability system by reducing the number of overall accreditation ratings that schools may earn. Under the new system, schools earn one of the following three ratings: </w:t>
      </w:r>
    </w:p>
    <w:p w14:paraId="6EBA5B18" w14:textId="55E750EE" w:rsidR="00487C66" w:rsidRPr="0066085F" w:rsidRDefault="00487C66" w:rsidP="00AA22DD">
      <w:pPr>
        <w:pStyle w:val="ListParagraph"/>
        <w:numPr>
          <w:ilvl w:val="0"/>
          <w:numId w:val="4"/>
        </w:numPr>
        <w:spacing w:after="120" w:line="276" w:lineRule="auto"/>
        <w:rPr>
          <w:rFonts w:ascii="Times New Roman" w:hAnsi="Times New Roman" w:cs="Times New Roman"/>
        </w:rPr>
      </w:pPr>
      <w:r w:rsidRPr="0066085F">
        <w:rPr>
          <w:rFonts w:ascii="Times New Roman" w:hAnsi="Times New Roman" w:cs="Times New Roman"/>
        </w:rPr>
        <w:t xml:space="preserve">Accredited — Schools with all school-quality indicators at either Level One or Level Two </w:t>
      </w:r>
    </w:p>
    <w:p w14:paraId="7E4589F2" w14:textId="26189B45" w:rsidR="00487C66" w:rsidRPr="0066085F" w:rsidRDefault="00487C66" w:rsidP="00AA22DD">
      <w:pPr>
        <w:pStyle w:val="ListParagraph"/>
        <w:numPr>
          <w:ilvl w:val="0"/>
          <w:numId w:val="4"/>
        </w:numPr>
        <w:spacing w:after="120" w:line="276" w:lineRule="auto"/>
        <w:rPr>
          <w:rFonts w:ascii="Times New Roman" w:hAnsi="Times New Roman" w:cs="Times New Roman"/>
        </w:rPr>
      </w:pPr>
      <w:r w:rsidRPr="0066085F">
        <w:rPr>
          <w:rFonts w:ascii="Times New Roman" w:hAnsi="Times New Roman" w:cs="Times New Roman"/>
        </w:rPr>
        <w:t xml:space="preserve">Accredited with Conditions — Schools with one or more school-quality indicators at Level Three </w:t>
      </w:r>
    </w:p>
    <w:p w14:paraId="4CCA0E36" w14:textId="18B3E178" w:rsidR="003D2C18" w:rsidRPr="0066085F" w:rsidRDefault="00487C66" w:rsidP="00AA22DD">
      <w:pPr>
        <w:pStyle w:val="ListParagraph"/>
        <w:numPr>
          <w:ilvl w:val="0"/>
          <w:numId w:val="4"/>
        </w:numPr>
        <w:spacing w:after="120" w:line="276" w:lineRule="auto"/>
        <w:rPr>
          <w:rFonts w:ascii="Times New Roman" w:hAnsi="Times New Roman" w:cs="Times New Roman"/>
        </w:rPr>
      </w:pPr>
      <w:r w:rsidRPr="0066085F">
        <w:rPr>
          <w:rFonts w:ascii="Times New Roman" w:hAnsi="Times New Roman" w:cs="Times New Roman"/>
        </w:rPr>
        <w:t xml:space="preserve">Accreditation Denied — Schools that fail to adopt or fully implement required corrective actions to address Level </w:t>
      </w:r>
      <w:r w:rsidR="0066085F" w:rsidRPr="0066085F">
        <w:rPr>
          <w:rFonts w:ascii="Times New Roman" w:hAnsi="Times New Roman" w:cs="Times New Roman"/>
        </w:rPr>
        <w:t>3</w:t>
      </w:r>
      <w:r w:rsidRPr="0066085F">
        <w:rPr>
          <w:rFonts w:ascii="Times New Roman" w:hAnsi="Times New Roman" w:cs="Times New Roman"/>
        </w:rPr>
        <w:t xml:space="preserve"> school-quality indicators. A school rated as Accreditation Denied may regain state accreditation by demonstrating to the Board of Education that it is fully implementing all required corrective action plans.</w:t>
      </w:r>
    </w:p>
    <w:p w14:paraId="5963E4A6" w14:textId="77777777" w:rsidR="003D2C18" w:rsidRPr="00AA22DD" w:rsidRDefault="003D2C18" w:rsidP="00AA22DD">
      <w:pPr>
        <w:pStyle w:val="Heading2"/>
        <w:rPr>
          <w:sz w:val="24"/>
          <w:szCs w:val="24"/>
        </w:rPr>
      </w:pPr>
      <w:bookmarkStart w:id="3" w:name="_What_is_Chronic_1"/>
      <w:bookmarkStart w:id="4" w:name="_How_is_Chronic_2"/>
      <w:bookmarkStart w:id="5" w:name="_How_is_Chronic_3"/>
      <w:bookmarkEnd w:id="3"/>
      <w:bookmarkEnd w:id="4"/>
      <w:bookmarkEnd w:id="5"/>
      <w:r w:rsidRPr="00AA22DD">
        <w:rPr>
          <w:sz w:val="24"/>
          <w:szCs w:val="24"/>
        </w:rPr>
        <w:t xml:space="preserve">How is Chronic Absenteeism measured in the </w:t>
      </w:r>
      <w:hyperlink r:id="rId11" w:history="1">
        <w:r w:rsidRPr="00AA22DD">
          <w:rPr>
            <w:rStyle w:val="Hyperlink"/>
            <w:sz w:val="24"/>
            <w:szCs w:val="24"/>
          </w:rPr>
          <w:t>Virginia Standards of Accreditation</w:t>
        </w:r>
      </w:hyperlink>
      <w:r w:rsidRPr="00AA22DD">
        <w:rPr>
          <w:sz w:val="24"/>
          <w:szCs w:val="24"/>
        </w:rPr>
        <w:t>?</w:t>
      </w:r>
    </w:p>
    <w:p w14:paraId="684791AA" w14:textId="0B7F6A0C" w:rsidR="0059180B" w:rsidRPr="0066085F" w:rsidRDefault="0059180B" w:rsidP="00FE70B8">
      <w:pPr>
        <w:shd w:val="clear" w:color="auto" w:fill="FFFFFF"/>
        <w:spacing w:after="120" w:line="276" w:lineRule="auto"/>
        <w:contextualSpacing/>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 xml:space="preserve">Chronic absenteeism is calculated using a three-step process. First, a student's end-of-year membership is determined by dividing the student’s total days present, absent, and unscheduled by the total days in session for a given school. If the student's average daily membership is 50 percent </w:t>
      </w:r>
      <w:r w:rsidR="00755F11" w:rsidRPr="0066085F">
        <w:rPr>
          <w:rFonts w:ascii="Times New Roman" w:eastAsia="Times New Roman" w:hAnsi="Times New Roman" w:cs="Times New Roman"/>
          <w:color w:val="000000"/>
          <w:sz w:val="24"/>
          <w:szCs w:val="24"/>
        </w:rPr>
        <w:t xml:space="preserve">or greater </w:t>
      </w:r>
      <w:r w:rsidRPr="0066085F">
        <w:rPr>
          <w:rFonts w:ascii="Times New Roman" w:eastAsia="Times New Roman" w:hAnsi="Times New Roman" w:cs="Times New Roman"/>
          <w:color w:val="000000"/>
          <w:sz w:val="24"/>
          <w:szCs w:val="24"/>
        </w:rPr>
        <w:t>in a given school</w:t>
      </w:r>
      <w:r w:rsidR="001E776C" w:rsidRPr="0066085F">
        <w:rPr>
          <w:rFonts w:ascii="Times New Roman" w:eastAsia="Times New Roman" w:hAnsi="Times New Roman" w:cs="Times New Roman"/>
          <w:sz w:val="24"/>
          <w:szCs w:val="24"/>
        </w:rPr>
        <w:t xml:space="preserve"> year</w:t>
      </w:r>
      <w:r w:rsidRPr="0066085F">
        <w:rPr>
          <w:rFonts w:ascii="Times New Roman" w:eastAsia="Times New Roman" w:hAnsi="Times New Roman" w:cs="Times New Roman"/>
          <w:color w:val="000000"/>
          <w:sz w:val="24"/>
          <w:szCs w:val="24"/>
        </w:rPr>
        <w:t xml:space="preserve">, the student is included in the </w:t>
      </w:r>
      <w:r w:rsidR="009B4376" w:rsidRPr="0066085F">
        <w:rPr>
          <w:rFonts w:ascii="Times New Roman" w:eastAsia="Times New Roman" w:hAnsi="Times New Roman" w:cs="Times New Roman"/>
          <w:color w:val="000000"/>
          <w:sz w:val="24"/>
          <w:szCs w:val="24"/>
        </w:rPr>
        <w:t xml:space="preserve">school’s </w:t>
      </w:r>
      <w:r w:rsidRPr="0066085F">
        <w:rPr>
          <w:rFonts w:ascii="Times New Roman" w:eastAsia="Times New Roman" w:hAnsi="Times New Roman" w:cs="Times New Roman"/>
          <w:color w:val="000000"/>
          <w:sz w:val="24"/>
          <w:szCs w:val="24"/>
        </w:rPr>
        <w:t xml:space="preserve">chronic absenteeism calculation. Next, a student is determined to be chronically absent if the rate of their days absent divided by their total days in membership is greater than or equal to 10 percent. Lastly, to determine the school </w:t>
      </w:r>
      <w:r w:rsidR="009B4376" w:rsidRPr="0066085F">
        <w:rPr>
          <w:rFonts w:ascii="Times New Roman" w:eastAsia="Times New Roman" w:hAnsi="Times New Roman" w:cs="Times New Roman"/>
          <w:color w:val="000000"/>
          <w:sz w:val="24"/>
          <w:szCs w:val="24"/>
        </w:rPr>
        <w:t xml:space="preserve">chronic </w:t>
      </w:r>
      <w:r w:rsidRPr="0066085F">
        <w:rPr>
          <w:rFonts w:ascii="Times New Roman" w:eastAsia="Times New Roman" w:hAnsi="Times New Roman" w:cs="Times New Roman"/>
          <w:color w:val="000000"/>
          <w:sz w:val="24"/>
          <w:szCs w:val="24"/>
        </w:rPr>
        <w:t>absentee</w:t>
      </w:r>
      <w:r w:rsidR="009B4376" w:rsidRPr="0066085F">
        <w:rPr>
          <w:rFonts w:ascii="Times New Roman" w:eastAsia="Times New Roman" w:hAnsi="Times New Roman" w:cs="Times New Roman"/>
          <w:color w:val="000000"/>
          <w:sz w:val="24"/>
          <w:szCs w:val="24"/>
        </w:rPr>
        <w:t>ism</w:t>
      </w:r>
      <w:r w:rsidRPr="0066085F">
        <w:rPr>
          <w:rFonts w:ascii="Times New Roman" w:eastAsia="Times New Roman" w:hAnsi="Times New Roman" w:cs="Times New Roman"/>
          <w:color w:val="000000"/>
          <w:sz w:val="24"/>
          <w:szCs w:val="24"/>
        </w:rPr>
        <w:t xml:space="preserve"> rate, the number of students that are absent 10 percent or more is divided by the total number of students with membership greater than</w:t>
      </w:r>
      <w:r w:rsidR="00755F11" w:rsidRPr="0066085F">
        <w:rPr>
          <w:rFonts w:ascii="Times New Roman" w:eastAsia="Times New Roman" w:hAnsi="Times New Roman" w:cs="Times New Roman"/>
          <w:color w:val="000000"/>
          <w:sz w:val="24"/>
          <w:szCs w:val="24"/>
        </w:rPr>
        <w:t xml:space="preserve"> or equal to</w:t>
      </w:r>
      <w:r w:rsidRPr="0066085F">
        <w:rPr>
          <w:rFonts w:ascii="Times New Roman" w:eastAsia="Times New Roman" w:hAnsi="Times New Roman" w:cs="Times New Roman"/>
          <w:color w:val="000000"/>
          <w:sz w:val="24"/>
          <w:szCs w:val="24"/>
        </w:rPr>
        <w:t xml:space="preserve"> 50 percent </w:t>
      </w:r>
      <w:r w:rsidR="00755F11" w:rsidRPr="0066085F">
        <w:rPr>
          <w:rFonts w:ascii="Times New Roman" w:eastAsia="Times New Roman" w:hAnsi="Times New Roman" w:cs="Times New Roman"/>
          <w:color w:val="000000"/>
          <w:sz w:val="24"/>
          <w:szCs w:val="24"/>
        </w:rPr>
        <w:t>of</w:t>
      </w:r>
      <w:r w:rsidRPr="0066085F">
        <w:rPr>
          <w:rFonts w:ascii="Times New Roman" w:eastAsia="Times New Roman" w:hAnsi="Times New Roman" w:cs="Times New Roman"/>
          <w:color w:val="000000"/>
          <w:sz w:val="24"/>
          <w:szCs w:val="24"/>
        </w:rPr>
        <w:t xml:space="preserve"> a school’s end-of-year membership.</w:t>
      </w:r>
    </w:p>
    <w:p w14:paraId="1CAC0D0A" w14:textId="2E245A94" w:rsidR="00EA0FEE" w:rsidRDefault="00EA0FEE">
      <w:pPr>
        <w:rPr>
          <w:rFonts w:ascii="Times New Roman" w:hAnsi="Times New Roman" w:cs="Times New Roman"/>
        </w:rPr>
      </w:pPr>
    </w:p>
    <w:p w14:paraId="4621A3DA" w14:textId="77777777" w:rsidR="00E03973" w:rsidRPr="0066085F" w:rsidRDefault="00487C66" w:rsidP="00FE70B8">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 xml:space="preserve">In the SOA, performance on this indicator is rated as follows: </w:t>
      </w:r>
    </w:p>
    <w:tbl>
      <w:tblPr>
        <w:tblStyle w:val="TableGrid"/>
        <w:tblW w:w="0" w:type="auto"/>
        <w:tblLook w:val="04A0" w:firstRow="1" w:lastRow="0" w:firstColumn="1" w:lastColumn="0" w:noHBand="0" w:noVBand="1"/>
        <w:tblCaption w:val="SOA Chronic Absenteeism Levels"/>
        <w:tblDescription w:val="This table summarizes the criteria for each level under the Chronic Absenteeism SOA indicator. "/>
      </w:tblPr>
      <w:tblGrid>
        <w:gridCol w:w="2337"/>
        <w:gridCol w:w="2337"/>
        <w:gridCol w:w="2338"/>
        <w:gridCol w:w="2338"/>
      </w:tblGrid>
      <w:tr w:rsidR="003D2C18" w:rsidRPr="0066085F" w14:paraId="41E59244" w14:textId="77777777" w:rsidTr="006E688E">
        <w:trPr>
          <w:tblHeader/>
        </w:trPr>
        <w:tc>
          <w:tcPr>
            <w:tcW w:w="2337" w:type="dxa"/>
            <w:shd w:val="clear" w:color="auto" w:fill="00B0F0"/>
          </w:tcPr>
          <w:p w14:paraId="1397C840" w14:textId="77777777" w:rsidR="003D2C18" w:rsidRPr="0066085F" w:rsidRDefault="003D2C18" w:rsidP="00FE70B8">
            <w:pPr>
              <w:spacing w:after="120" w:line="276" w:lineRule="auto"/>
              <w:contextualSpacing/>
              <w:rPr>
                <w:rFonts w:ascii="Times New Roman" w:hAnsi="Times New Roman" w:cs="Times New Roman"/>
                <w:b/>
                <w:sz w:val="24"/>
                <w:szCs w:val="24"/>
              </w:rPr>
            </w:pPr>
            <w:r w:rsidRPr="0066085F">
              <w:rPr>
                <w:rFonts w:ascii="Times New Roman" w:hAnsi="Times New Roman" w:cs="Times New Roman"/>
                <w:b/>
                <w:sz w:val="24"/>
                <w:szCs w:val="24"/>
              </w:rPr>
              <w:t>Indicator</w:t>
            </w:r>
          </w:p>
        </w:tc>
        <w:tc>
          <w:tcPr>
            <w:tcW w:w="2337" w:type="dxa"/>
            <w:shd w:val="clear" w:color="auto" w:fill="00B0F0"/>
          </w:tcPr>
          <w:p w14:paraId="40EA01DD" w14:textId="77777777" w:rsidR="003D2C18" w:rsidRPr="0066085F" w:rsidRDefault="003D2C18" w:rsidP="00FE70B8">
            <w:pPr>
              <w:spacing w:after="120" w:line="276" w:lineRule="auto"/>
              <w:contextualSpacing/>
              <w:rPr>
                <w:rFonts w:ascii="Times New Roman" w:hAnsi="Times New Roman" w:cs="Times New Roman"/>
                <w:b/>
                <w:sz w:val="24"/>
                <w:szCs w:val="24"/>
              </w:rPr>
            </w:pPr>
            <w:r w:rsidRPr="0066085F">
              <w:rPr>
                <w:rFonts w:ascii="Times New Roman" w:hAnsi="Times New Roman" w:cs="Times New Roman"/>
                <w:b/>
                <w:sz w:val="24"/>
                <w:szCs w:val="24"/>
              </w:rPr>
              <w:t>Level One</w:t>
            </w:r>
          </w:p>
        </w:tc>
        <w:tc>
          <w:tcPr>
            <w:tcW w:w="2338" w:type="dxa"/>
            <w:shd w:val="clear" w:color="auto" w:fill="00B0F0"/>
          </w:tcPr>
          <w:p w14:paraId="6C56411E" w14:textId="77777777" w:rsidR="003D2C18" w:rsidRPr="0066085F" w:rsidRDefault="003D2C18" w:rsidP="00FE70B8">
            <w:pPr>
              <w:spacing w:after="120" w:line="276" w:lineRule="auto"/>
              <w:contextualSpacing/>
              <w:rPr>
                <w:rFonts w:ascii="Times New Roman" w:hAnsi="Times New Roman" w:cs="Times New Roman"/>
                <w:b/>
                <w:sz w:val="24"/>
                <w:szCs w:val="24"/>
              </w:rPr>
            </w:pPr>
            <w:r w:rsidRPr="0066085F">
              <w:rPr>
                <w:rFonts w:ascii="Times New Roman" w:hAnsi="Times New Roman" w:cs="Times New Roman"/>
                <w:b/>
                <w:sz w:val="24"/>
                <w:szCs w:val="24"/>
              </w:rPr>
              <w:t>Level Two</w:t>
            </w:r>
          </w:p>
        </w:tc>
        <w:tc>
          <w:tcPr>
            <w:tcW w:w="2338" w:type="dxa"/>
            <w:shd w:val="clear" w:color="auto" w:fill="00B0F0"/>
          </w:tcPr>
          <w:p w14:paraId="440D00D4" w14:textId="77777777" w:rsidR="003D2C18" w:rsidRPr="0066085F" w:rsidRDefault="003D2C18" w:rsidP="00FE70B8">
            <w:pPr>
              <w:spacing w:after="120" w:line="276" w:lineRule="auto"/>
              <w:contextualSpacing/>
              <w:rPr>
                <w:rFonts w:ascii="Times New Roman" w:hAnsi="Times New Roman" w:cs="Times New Roman"/>
                <w:b/>
                <w:sz w:val="24"/>
                <w:szCs w:val="24"/>
              </w:rPr>
            </w:pPr>
            <w:r w:rsidRPr="0066085F">
              <w:rPr>
                <w:rFonts w:ascii="Times New Roman" w:hAnsi="Times New Roman" w:cs="Times New Roman"/>
                <w:b/>
                <w:sz w:val="24"/>
                <w:szCs w:val="24"/>
              </w:rPr>
              <w:t>Level Three</w:t>
            </w:r>
          </w:p>
        </w:tc>
      </w:tr>
      <w:tr w:rsidR="003D2C18" w:rsidRPr="0066085F" w14:paraId="1056F179" w14:textId="77777777" w:rsidTr="00546860">
        <w:tc>
          <w:tcPr>
            <w:tcW w:w="2337" w:type="dxa"/>
          </w:tcPr>
          <w:p w14:paraId="1F291EF6" w14:textId="77777777" w:rsidR="003D2C18" w:rsidRPr="0066085F" w:rsidRDefault="003D2C18" w:rsidP="00FE70B8">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Chronic Absenteeism</w:t>
            </w:r>
          </w:p>
        </w:tc>
        <w:tc>
          <w:tcPr>
            <w:tcW w:w="2337" w:type="dxa"/>
          </w:tcPr>
          <w:p w14:paraId="07957832" w14:textId="52B46BF6" w:rsidR="003D2C18" w:rsidRPr="0066085F" w:rsidRDefault="003D2C18" w:rsidP="00AA22DD">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0-15</w:t>
            </w:r>
            <w:r w:rsidR="001C4990" w:rsidRPr="0066085F">
              <w:rPr>
                <w:rFonts w:ascii="Times New Roman" w:hAnsi="Times New Roman" w:cs="Times New Roman"/>
                <w:sz w:val="24"/>
                <w:szCs w:val="24"/>
              </w:rPr>
              <w:t xml:space="preserve"> percent </w:t>
            </w:r>
            <w:r w:rsidRPr="0066085F">
              <w:rPr>
                <w:rFonts w:ascii="Times New Roman" w:hAnsi="Times New Roman" w:cs="Times New Roman"/>
                <w:sz w:val="24"/>
                <w:szCs w:val="24"/>
              </w:rPr>
              <w:t>OR 10</w:t>
            </w:r>
            <w:r w:rsidR="001C4990" w:rsidRPr="0066085F">
              <w:rPr>
                <w:rFonts w:ascii="Times New Roman" w:hAnsi="Times New Roman" w:cs="Times New Roman"/>
                <w:sz w:val="24"/>
                <w:szCs w:val="24"/>
              </w:rPr>
              <w:t xml:space="preserve"> percent</w:t>
            </w:r>
            <w:r w:rsidRPr="0066085F">
              <w:rPr>
                <w:rFonts w:ascii="Times New Roman" w:hAnsi="Times New Roman" w:cs="Times New Roman"/>
                <w:sz w:val="24"/>
                <w:szCs w:val="24"/>
              </w:rPr>
              <w:t xml:space="preserve"> decrease</w:t>
            </w:r>
            <w:r w:rsidR="009D4E68" w:rsidRPr="0066085F">
              <w:rPr>
                <w:rFonts w:ascii="Times New Roman" w:hAnsi="Times New Roman" w:cs="Times New Roman"/>
                <w:sz w:val="24"/>
                <w:szCs w:val="24"/>
              </w:rPr>
              <w:t xml:space="preserve"> from previous year if in Level Two range </w:t>
            </w:r>
          </w:p>
        </w:tc>
        <w:tc>
          <w:tcPr>
            <w:tcW w:w="2338" w:type="dxa"/>
          </w:tcPr>
          <w:p w14:paraId="0C30CBD1" w14:textId="591403F2" w:rsidR="003D2C18" w:rsidRPr="0066085F" w:rsidRDefault="003D2C18" w:rsidP="00AA22DD">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16-24</w:t>
            </w:r>
            <w:r w:rsidR="001C4990" w:rsidRPr="0066085F">
              <w:rPr>
                <w:rFonts w:ascii="Times New Roman" w:hAnsi="Times New Roman" w:cs="Times New Roman"/>
                <w:sz w:val="24"/>
                <w:szCs w:val="24"/>
              </w:rPr>
              <w:t xml:space="preserve"> percent </w:t>
            </w:r>
            <w:r w:rsidRPr="0066085F">
              <w:rPr>
                <w:rFonts w:ascii="Times New Roman" w:hAnsi="Times New Roman" w:cs="Times New Roman"/>
                <w:sz w:val="24"/>
                <w:szCs w:val="24"/>
              </w:rPr>
              <w:t>OR 10</w:t>
            </w:r>
            <w:r w:rsidR="00AA22DD" w:rsidRPr="0066085F">
              <w:rPr>
                <w:rFonts w:ascii="Times New Roman" w:hAnsi="Times New Roman" w:cs="Times New Roman"/>
                <w:sz w:val="24"/>
                <w:szCs w:val="24"/>
              </w:rPr>
              <w:t xml:space="preserve"> percent</w:t>
            </w:r>
            <w:r w:rsidRPr="0066085F">
              <w:rPr>
                <w:rFonts w:ascii="Times New Roman" w:hAnsi="Times New Roman" w:cs="Times New Roman"/>
                <w:sz w:val="24"/>
                <w:szCs w:val="24"/>
              </w:rPr>
              <w:t xml:space="preserve"> decrease </w:t>
            </w:r>
            <w:r w:rsidR="009D4E68" w:rsidRPr="0066085F">
              <w:rPr>
                <w:rFonts w:ascii="Times New Roman" w:hAnsi="Times New Roman" w:cs="Times New Roman"/>
                <w:sz w:val="24"/>
                <w:szCs w:val="24"/>
              </w:rPr>
              <w:t xml:space="preserve">from previous year if in Level Three range </w:t>
            </w:r>
          </w:p>
        </w:tc>
        <w:tc>
          <w:tcPr>
            <w:tcW w:w="2338" w:type="dxa"/>
          </w:tcPr>
          <w:p w14:paraId="4707C680" w14:textId="07235205" w:rsidR="003D2C18" w:rsidRPr="0066085F" w:rsidRDefault="003D2C18" w:rsidP="00AA22DD">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25</w:t>
            </w:r>
            <w:r w:rsidR="00AA22DD" w:rsidRPr="0066085F">
              <w:rPr>
                <w:rFonts w:ascii="Times New Roman" w:hAnsi="Times New Roman" w:cs="Times New Roman"/>
                <w:sz w:val="24"/>
                <w:szCs w:val="24"/>
              </w:rPr>
              <w:t xml:space="preserve"> percent</w:t>
            </w:r>
            <w:r w:rsidRPr="0066085F">
              <w:rPr>
                <w:rFonts w:ascii="Times New Roman" w:hAnsi="Times New Roman" w:cs="Times New Roman"/>
                <w:sz w:val="24"/>
                <w:szCs w:val="24"/>
              </w:rPr>
              <w:t xml:space="preserve"> or higher OR Level Two </w:t>
            </w:r>
            <w:r w:rsidR="009D4E68" w:rsidRPr="0066085F">
              <w:rPr>
                <w:rFonts w:ascii="Times New Roman" w:hAnsi="Times New Roman" w:cs="Times New Roman"/>
                <w:sz w:val="24"/>
                <w:szCs w:val="24"/>
              </w:rPr>
              <w:t xml:space="preserve">or Three </w:t>
            </w:r>
            <w:r w:rsidRPr="0066085F">
              <w:rPr>
                <w:rFonts w:ascii="Times New Roman" w:hAnsi="Times New Roman" w:cs="Times New Roman"/>
                <w:sz w:val="24"/>
                <w:szCs w:val="24"/>
              </w:rPr>
              <w:t>for more than four consecutive years</w:t>
            </w:r>
            <w:r w:rsidR="009D4E68" w:rsidRPr="0066085F">
              <w:rPr>
                <w:rFonts w:ascii="Times New Roman" w:hAnsi="Times New Roman" w:cs="Times New Roman"/>
                <w:sz w:val="24"/>
                <w:szCs w:val="24"/>
              </w:rPr>
              <w:t xml:space="preserve"> beginning in 2018-</w:t>
            </w:r>
            <w:r w:rsidR="009C5AFD" w:rsidRPr="0066085F">
              <w:rPr>
                <w:rFonts w:ascii="Times New Roman" w:hAnsi="Times New Roman" w:cs="Times New Roman"/>
                <w:sz w:val="24"/>
                <w:szCs w:val="24"/>
              </w:rPr>
              <w:t>20</w:t>
            </w:r>
            <w:r w:rsidR="009D4E68" w:rsidRPr="0066085F">
              <w:rPr>
                <w:rFonts w:ascii="Times New Roman" w:hAnsi="Times New Roman" w:cs="Times New Roman"/>
                <w:sz w:val="24"/>
                <w:szCs w:val="24"/>
              </w:rPr>
              <w:t>19</w:t>
            </w:r>
          </w:p>
        </w:tc>
      </w:tr>
    </w:tbl>
    <w:p w14:paraId="727A61AE" w14:textId="77777777" w:rsidR="009D4E68" w:rsidRPr="006E688E" w:rsidRDefault="009D4E68" w:rsidP="00FE70B8">
      <w:pPr>
        <w:pStyle w:val="Default"/>
        <w:spacing w:after="120" w:line="276" w:lineRule="auto"/>
        <w:contextualSpacing/>
        <w:rPr>
          <w:sz w:val="22"/>
          <w:szCs w:val="22"/>
        </w:rPr>
      </w:pPr>
    </w:p>
    <w:p w14:paraId="5C024F4A" w14:textId="77777777" w:rsidR="009D4E68" w:rsidRPr="0066085F" w:rsidRDefault="009D4E68" w:rsidP="00FE70B8">
      <w:pPr>
        <w:pStyle w:val="Default"/>
        <w:spacing w:after="120" w:line="276" w:lineRule="auto"/>
      </w:pPr>
      <w:r w:rsidRPr="0066085F">
        <w:rPr>
          <w:i/>
        </w:rPr>
        <w:t>Level One</w:t>
      </w:r>
      <w:r w:rsidRPr="0066085F">
        <w:t>: Schools with a current year or three-year chronic absenteeism rate 15 percent or lower (that is, no more than 15 percent of the students missing 10 percent of the school year), or schools within</w:t>
      </w:r>
      <w:r w:rsidR="009B4376" w:rsidRPr="0066085F">
        <w:t xml:space="preserve"> the</w:t>
      </w:r>
      <w:r w:rsidRPr="0066085F">
        <w:t xml:space="preserve"> Level Two range that decrease the chronic absenteeism rate by 10 percent or more from the previous year</w:t>
      </w:r>
      <w:r w:rsidR="00DF2F3B" w:rsidRPr="0066085F">
        <w:t>.</w:t>
      </w:r>
      <w:r w:rsidRPr="0066085F">
        <w:t xml:space="preserve"> </w:t>
      </w:r>
    </w:p>
    <w:p w14:paraId="5FA8A61E" w14:textId="77777777" w:rsidR="009D4E68" w:rsidRPr="0066085F" w:rsidRDefault="009D4E68" w:rsidP="00FE70B8">
      <w:pPr>
        <w:pStyle w:val="Default"/>
        <w:spacing w:after="120" w:line="276" w:lineRule="auto"/>
      </w:pPr>
      <w:r w:rsidRPr="0066085F">
        <w:rPr>
          <w:i/>
        </w:rPr>
        <w:lastRenderedPageBreak/>
        <w:t>Level Two</w:t>
      </w:r>
      <w:r w:rsidRPr="0066085F">
        <w:t>: Schools not meeting Level One performance and with a chronic absenteeism rate of no more than 25 percent, or schools within</w:t>
      </w:r>
      <w:r w:rsidR="009B4376" w:rsidRPr="0066085F">
        <w:t xml:space="preserve"> the</w:t>
      </w:r>
      <w:r w:rsidRPr="0066085F">
        <w:t xml:space="preserve"> Level Three range that decrease the chronic absenteeism rate by 10 percent or more from the previous year</w:t>
      </w:r>
      <w:r w:rsidR="00DF2F3B" w:rsidRPr="0066085F">
        <w:t>.</w:t>
      </w:r>
      <w:r w:rsidRPr="0066085F">
        <w:t xml:space="preserve"> </w:t>
      </w:r>
    </w:p>
    <w:p w14:paraId="63F9BDBD" w14:textId="77777777" w:rsidR="00755F11" w:rsidRPr="0066085F" w:rsidRDefault="009D4E68" w:rsidP="00FE70B8">
      <w:pPr>
        <w:pStyle w:val="Default"/>
        <w:spacing w:after="120" w:line="276" w:lineRule="auto"/>
      </w:pPr>
      <w:r w:rsidRPr="0066085F">
        <w:rPr>
          <w:i/>
        </w:rPr>
        <w:t>Level Three</w:t>
      </w:r>
      <w:r w:rsidRPr="0066085F">
        <w:t>: Schools with a current year or cumulative three-year chronic absenteeism rate of 25 percent or higher, or schools with a Level Two or Level Three rating for more than four consecutive years beginning in the 2018-2019 accreditation year</w:t>
      </w:r>
      <w:r w:rsidR="00DF2F3B" w:rsidRPr="0066085F">
        <w:t>.</w:t>
      </w:r>
      <w:r w:rsidRPr="0066085F">
        <w:t xml:space="preserve">  </w:t>
      </w:r>
    </w:p>
    <w:p w14:paraId="7EF0EAA0" w14:textId="575F79E2" w:rsidR="003D2C18" w:rsidRPr="0066085F" w:rsidRDefault="003D2C18" w:rsidP="0066085F">
      <w:pPr>
        <w:pStyle w:val="ListParagraph"/>
        <w:numPr>
          <w:ilvl w:val="0"/>
          <w:numId w:val="6"/>
        </w:numPr>
        <w:spacing w:after="120" w:line="276" w:lineRule="auto"/>
        <w:rPr>
          <w:rFonts w:ascii="Times New Roman" w:hAnsi="Times New Roman" w:cs="Times New Roman"/>
          <w:i/>
        </w:rPr>
      </w:pPr>
      <w:r w:rsidRPr="0066085F">
        <w:rPr>
          <w:rFonts w:ascii="Times New Roman" w:hAnsi="Times New Roman" w:cs="Times New Roman"/>
          <w:i/>
        </w:rPr>
        <w:t>Students receiving homebound instruction are excluded from Chronic Absenteeism reporting.</w:t>
      </w:r>
    </w:p>
    <w:p w14:paraId="608EF964" w14:textId="1E5DE036" w:rsidR="0066085F" w:rsidRPr="00AA22DD" w:rsidRDefault="003D2C18" w:rsidP="00320B90">
      <w:pPr>
        <w:pStyle w:val="ListParagraph"/>
        <w:numPr>
          <w:ilvl w:val="0"/>
          <w:numId w:val="6"/>
        </w:numPr>
        <w:spacing w:after="120" w:line="276" w:lineRule="auto"/>
      </w:pPr>
      <w:r w:rsidRPr="00416547">
        <w:rPr>
          <w:rFonts w:ascii="Times New Roman" w:hAnsi="Times New Roman" w:cs="Times New Roman"/>
          <w:i/>
        </w:rPr>
        <w:t>A student must attend 50</w:t>
      </w:r>
      <w:r w:rsidR="001C4990" w:rsidRPr="00416547">
        <w:rPr>
          <w:rFonts w:ascii="Times New Roman" w:hAnsi="Times New Roman" w:cs="Times New Roman"/>
          <w:i/>
        </w:rPr>
        <w:t xml:space="preserve"> percent</w:t>
      </w:r>
      <w:r w:rsidRPr="00416547">
        <w:rPr>
          <w:rFonts w:ascii="Times New Roman" w:hAnsi="Times New Roman" w:cs="Times New Roman"/>
          <w:i/>
        </w:rPr>
        <w:t xml:space="preserve"> of the current school year to be counted in Chronic Absenteeism reporting.</w:t>
      </w:r>
    </w:p>
    <w:p w14:paraId="123DC05C" w14:textId="77777777" w:rsidR="003D2C18" w:rsidRPr="0066085F" w:rsidRDefault="004E5D85" w:rsidP="00AA22DD">
      <w:pPr>
        <w:pStyle w:val="Heading2"/>
        <w:rPr>
          <w:sz w:val="24"/>
          <w:szCs w:val="24"/>
        </w:rPr>
      </w:pPr>
      <w:bookmarkStart w:id="6" w:name="_Why_does_Chronic_1"/>
      <w:bookmarkEnd w:id="6"/>
      <w:r w:rsidRPr="0066085F">
        <w:rPr>
          <w:sz w:val="24"/>
          <w:szCs w:val="24"/>
        </w:rPr>
        <w:t>Why does Chronic Absenteeism m</w:t>
      </w:r>
      <w:r w:rsidR="00152F5C" w:rsidRPr="0066085F">
        <w:rPr>
          <w:sz w:val="24"/>
          <w:szCs w:val="24"/>
        </w:rPr>
        <w:t>atter?</w:t>
      </w:r>
    </w:p>
    <w:p w14:paraId="66093A20" w14:textId="7E6CAA40" w:rsidR="00152F5C" w:rsidRPr="0066085F" w:rsidRDefault="00152F5C" w:rsidP="00FE70B8">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 xml:space="preserve">Research on chronic absences, summarized </w:t>
      </w:r>
      <w:r w:rsidR="001C4990" w:rsidRPr="0066085F">
        <w:rPr>
          <w:rFonts w:ascii="Times New Roman" w:hAnsi="Times New Roman" w:cs="Times New Roman"/>
          <w:sz w:val="24"/>
          <w:szCs w:val="24"/>
        </w:rPr>
        <w:t xml:space="preserve">on the </w:t>
      </w:r>
      <w:hyperlink r:id="rId12" w:history="1">
        <w:r w:rsidR="001C4990" w:rsidRPr="0066085F">
          <w:rPr>
            <w:rStyle w:val="Hyperlink"/>
            <w:rFonts w:ascii="Times New Roman" w:hAnsi="Times New Roman" w:cs="Times New Roman"/>
            <w:sz w:val="24"/>
            <w:szCs w:val="24"/>
          </w:rPr>
          <w:t xml:space="preserve"> </w:t>
        </w:r>
        <w:r w:rsidR="0066085F" w:rsidRPr="0066085F">
          <w:rPr>
            <w:rStyle w:val="Hyperlink"/>
            <w:rFonts w:ascii="Times New Roman" w:hAnsi="Times New Roman" w:cs="Times New Roman"/>
            <w:sz w:val="24"/>
            <w:szCs w:val="24"/>
          </w:rPr>
          <w:t>Attendance</w:t>
        </w:r>
        <w:r w:rsidR="001C4990" w:rsidRPr="0066085F">
          <w:rPr>
            <w:rStyle w:val="Hyperlink"/>
            <w:rFonts w:ascii="Times New Roman" w:hAnsi="Times New Roman" w:cs="Times New Roman"/>
            <w:sz w:val="24"/>
            <w:szCs w:val="24"/>
          </w:rPr>
          <w:t xml:space="preserve"> Work</w:t>
        </w:r>
      </w:hyperlink>
      <w:r w:rsidR="001C4990" w:rsidRPr="0066085F">
        <w:rPr>
          <w:rFonts w:ascii="Times New Roman" w:hAnsi="Times New Roman" w:cs="Times New Roman"/>
          <w:sz w:val="24"/>
          <w:szCs w:val="24"/>
        </w:rPr>
        <w:t xml:space="preserve"> web page,</w:t>
      </w:r>
      <w:r w:rsidRPr="0066085F">
        <w:rPr>
          <w:rFonts w:ascii="Times New Roman" w:hAnsi="Times New Roman" w:cs="Times New Roman"/>
          <w:sz w:val="24"/>
          <w:szCs w:val="24"/>
        </w:rPr>
        <w:t xml:space="preserve"> reinforces the belief that children may experience academic difficulty if they are not in class to access instruction. Students who are chronically absent, for </w:t>
      </w:r>
      <w:r w:rsidR="00AA22DD" w:rsidRPr="0066085F">
        <w:rPr>
          <w:rFonts w:ascii="Times New Roman" w:hAnsi="Times New Roman" w:cs="Times New Roman"/>
          <w:sz w:val="24"/>
          <w:szCs w:val="24"/>
        </w:rPr>
        <w:t>any reason</w:t>
      </w:r>
      <w:r w:rsidRPr="0066085F">
        <w:rPr>
          <w:rFonts w:ascii="Times New Roman" w:hAnsi="Times New Roman" w:cs="Times New Roman"/>
          <w:sz w:val="24"/>
          <w:szCs w:val="24"/>
        </w:rPr>
        <w:t>,</w:t>
      </w:r>
      <w:r w:rsidR="00AA22DD" w:rsidRPr="0066085F">
        <w:rPr>
          <w:rFonts w:ascii="Times New Roman" w:hAnsi="Times New Roman" w:cs="Times New Roman"/>
          <w:sz w:val="24"/>
          <w:szCs w:val="24"/>
        </w:rPr>
        <w:t xml:space="preserve"> listed on the </w:t>
      </w:r>
      <w:hyperlink r:id="rId13" w:history="1">
        <w:r w:rsidR="00AA22DD" w:rsidRPr="0066085F">
          <w:rPr>
            <w:rStyle w:val="Hyperlink"/>
            <w:rFonts w:ascii="Times New Roman" w:hAnsi="Times New Roman" w:cs="Times New Roman"/>
            <w:sz w:val="24"/>
            <w:szCs w:val="24"/>
          </w:rPr>
          <w:t>Attendance Work Chronic Absentee</w:t>
        </w:r>
      </w:hyperlink>
      <w:r w:rsidR="00AA22DD" w:rsidRPr="0066085F">
        <w:rPr>
          <w:rFonts w:ascii="Times New Roman" w:hAnsi="Times New Roman" w:cs="Times New Roman"/>
          <w:sz w:val="24"/>
          <w:szCs w:val="24"/>
        </w:rPr>
        <w:t xml:space="preserve"> web page</w:t>
      </w:r>
      <w:r w:rsidRPr="0066085F">
        <w:rPr>
          <w:rFonts w:ascii="Times New Roman" w:hAnsi="Times New Roman" w:cs="Times New Roman"/>
          <w:sz w:val="24"/>
          <w:szCs w:val="24"/>
        </w:rPr>
        <w:t xml:space="preserve"> may have more difficulty mastering reading concepts by third grade, a higher probability of failing subjects in middle school, and </w:t>
      </w:r>
      <w:r w:rsidR="00B416A5" w:rsidRPr="0066085F">
        <w:rPr>
          <w:rFonts w:ascii="Times New Roman" w:hAnsi="Times New Roman" w:cs="Times New Roman"/>
          <w:sz w:val="24"/>
          <w:szCs w:val="24"/>
        </w:rPr>
        <w:t xml:space="preserve">an increased probability of </w:t>
      </w:r>
      <w:r w:rsidRPr="0066085F">
        <w:rPr>
          <w:rFonts w:ascii="Times New Roman" w:hAnsi="Times New Roman" w:cs="Times New Roman"/>
          <w:sz w:val="24"/>
          <w:szCs w:val="24"/>
        </w:rPr>
        <w:t>dropping out of school once they reach high school. For these reasons, the Virginia Department of Education recognizes the need to address chronic absenteeism as necessary and good for all students in the Commonwealth.</w:t>
      </w:r>
    </w:p>
    <w:p w14:paraId="0B07BA04" w14:textId="77777777" w:rsidR="00FE70B8" w:rsidRPr="006E688E" w:rsidRDefault="00FE70B8" w:rsidP="00FE70B8">
      <w:pPr>
        <w:spacing w:after="120" w:line="276" w:lineRule="auto"/>
        <w:contextualSpacing/>
        <w:rPr>
          <w:rFonts w:ascii="Times New Roman" w:hAnsi="Times New Roman" w:cs="Times New Roman"/>
          <w:b/>
        </w:rPr>
      </w:pPr>
    </w:p>
    <w:p w14:paraId="4277DD81" w14:textId="77777777" w:rsidR="00F17586" w:rsidRPr="0066085F" w:rsidRDefault="00D933B1" w:rsidP="00AA22DD">
      <w:pPr>
        <w:pStyle w:val="Heading2"/>
        <w:rPr>
          <w:sz w:val="24"/>
          <w:szCs w:val="24"/>
        </w:rPr>
      </w:pPr>
      <w:bookmarkStart w:id="7" w:name="_Is_Chronic_Absenteeism_1"/>
      <w:bookmarkEnd w:id="7"/>
      <w:r w:rsidRPr="0066085F">
        <w:rPr>
          <w:sz w:val="24"/>
          <w:szCs w:val="24"/>
        </w:rPr>
        <w:t>Is Chro</w:t>
      </w:r>
      <w:r w:rsidR="004E5D85" w:rsidRPr="0066085F">
        <w:rPr>
          <w:sz w:val="24"/>
          <w:szCs w:val="24"/>
        </w:rPr>
        <w:t>nic Absenteeism different from t</w:t>
      </w:r>
      <w:r w:rsidRPr="0066085F">
        <w:rPr>
          <w:sz w:val="24"/>
          <w:szCs w:val="24"/>
        </w:rPr>
        <w:t>ruancy?</w:t>
      </w:r>
    </w:p>
    <w:p w14:paraId="0B798498" w14:textId="21CBD74D" w:rsidR="00D933B1" w:rsidRPr="0066085F" w:rsidRDefault="00D933B1" w:rsidP="00FE70B8">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Yes. Chronic absenteeism is a measure of absenteeism that encompasses excused absences, unexcused absences, and absences</w:t>
      </w:r>
      <w:r w:rsidR="00590A92" w:rsidRPr="0066085F">
        <w:rPr>
          <w:rFonts w:ascii="Times New Roman" w:hAnsi="Times New Roman" w:cs="Times New Roman"/>
          <w:sz w:val="24"/>
          <w:szCs w:val="24"/>
        </w:rPr>
        <w:t xml:space="preserve"> due to suspension. In Virginia,</w:t>
      </w:r>
      <w:r w:rsidRPr="0066085F">
        <w:rPr>
          <w:rFonts w:ascii="Times New Roman" w:hAnsi="Times New Roman" w:cs="Times New Roman"/>
          <w:sz w:val="24"/>
          <w:szCs w:val="24"/>
        </w:rPr>
        <w:t xml:space="preserve"> </w:t>
      </w:r>
      <w:hyperlink r:id="rId14" w:history="1">
        <w:r w:rsidR="00590A92" w:rsidRPr="0066085F">
          <w:rPr>
            <w:rStyle w:val="Hyperlink"/>
            <w:rFonts w:ascii="Times New Roman" w:hAnsi="Times New Roman" w:cs="Times New Roman"/>
            <w:sz w:val="24"/>
            <w:szCs w:val="24"/>
          </w:rPr>
          <w:t>t</w:t>
        </w:r>
        <w:r w:rsidRPr="0066085F">
          <w:rPr>
            <w:rStyle w:val="Hyperlink"/>
            <w:rFonts w:ascii="Times New Roman" w:hAnsi="Times New Roman" w:cs="Times New Roman"/>
            <w:sz w:val="24"/>
            <w:szCs w:val="24"/>
          </w:rPr>
          <w:t>ruancy</w:t>
        </w:r>
      </w:hyperlink>
      <w:r w:rsidRPr="0066085F">
        <w:rPr>
          <w:rFonts w:ascii="Times New Roman" w:hAnsi="Times New Roman" w:cs="Times New Roman"/>
          <w:sz w:val="24"/>
          <w:szCs w:val="24"/>
        </w:rPr>
        <w:t xml:space="preserve"> is defined as “…the act of accruing one or more unexcused absences.” Truancy is a measure of unexcused </w:t>
      </w:r>
      <w:r w:rsidR="00F17586" w:rsidRPr="0066085F">
        <w:rPr>
          <w:rFonts w:ascii="Times New Roman" w:hAnsi="Times New Roman" w:cs="Times New Roman"/>
          <w:sz w:val="24"/>
          <w:szCs w:val="24"/>
        </w:rPr>
        <w:t>absences, which</w:t>
      </w:r>
      <w:r w:rsidRPr="0066085F">
        <w:rPr>
          <w:rFonts w:ascii="Times New Roman" w:hAnsi="Times New Roman" w:cs="Times New Roman"/>
          <w:sz w:val="24"/>
          <w:szCs w:val="24"/>
        </w:rPr>
        <w:t xml:space="preserve"> is a part of chronic</w:t>
      </w:r>
      <w:r w:rsidR="00CB3269" w:rsidRPr="0066085F">
        <w:rPr>
          <w:rFonts w:ascii="Times New Roman" w:hAnsi="Times New Roman" w:cs="Times New Roman"/>
          <w:sz w:val="24"/>
          <w:szCs w:val="24"/>
        </w:rPr>
        <w:t xml:space="preserve"> </w:t>
      </w:r>
      <w:r w:rsidRPr="0066085F">
        <w:rPr>
          <w:rFonts w:ascii="Times New Roman" w:hAnsi="Times New Roman" w:cs="Times New Roman"/>
          <w:sz w:val="24"/>
          <w:szCs w:val="24"/>
        </w:rPr>
        <w:t>absenteeism</w:t>
      </w:r>
      <w:r w:rsidR="00A049E3" w:rsidRPr="0066085F">
        <w:rPr>
          <w:rFonts w:ascii="Times New Roman" w:hAnsi="Times New Roman" w:cs="Times New Roman"/>
          <w:sz w:val="24"/>
          <w:szCs w:val="24"/>
        </w:rPr>
        <w:t>,</w:t>
      </w:r>
      <w:r w:rsidRPr="0066085F">
        <w:rPr>
          <w:rFonts w:ascii="Times New Roman" w:hAnsi="Times New Roman" w:cs="Times New Roman"/>
          <w:sz w:val="24"/>
          <w:szCs w:val="24"/>
        </w:rPr>
        <w:t xml:space="preserve"> but does not provide a global look at the potential for lost instruction due </w:t>
      </w:r>
      <w:r w:rsidR="00276307" w:rsidRPr="0066085F">
        <w:rPr>
          <w:rFonts w:ascii="Times New Roman" w:hAnsi="Times New Roman" w:cs="Times New Roman"/>
          <w:sz w:val="24"/>
          <w:szCs w:val="24"/>
        </w:rPr>
        <w:t xml:space="preserve">to </w:t>
      </w:r>
      <w:r w:rsidR="00A049E3" w:rsidRPr="0066085F">
        <w:rPr>
          <w:rFonts w:ascii="Times New Roman" w:hAnsi="Times New Roman" w:cs="Times New Roman"/>
          <w:sz w:val="24"/>
          <w:szCs w:val="24"/>
        </w:rPr>
        <w:t>absences for any reason</w:t>
      </w:r>
      <w:r w:rsidRPr="0066085F">
        <w:rPr>
          <w:rFonts w:ascii="Times New Roman" w:hAnsi="Times New Roman" w:cs="Times New Roman"/>
          <w:sz w:val="24"/>
          <w:szCs w:val="24"/>
        </w:rPr>
        <w:t xml:space="preserve">. Measuring rates of chronic absenteeism recognizes that many students miss school </w:t>
      </w:r>
      <w:r w:rsidR="00673B31" w:rsidRPr="0066085F">
        <w:rPr>
          <w:rFonts w:ascii="Times New Roman" w:hAnsi="Times New Roman" w:cs="Times New Roman"/>
          <w:sz w:val="24"/>
          <w:szCs w:val="24"/>
        </w:rPr>
        <w:t>for understandable reasons, for which a compliance driven approach is not the appropriate response.</w:t>
      </w:r>
      <w:r w:rsidR="00590A92" w:rsidRPr="0066085F">
        <w:rPr>
          <w:rFonts w:ascii="Times New Roman" w:hAnsi="Times New Roman" w:cs="Times New Roman"/>
          <w:sz w:val="24"/>
          <w:szCs w:val="24"/>
        </w:rPr>
        <w:t xml:space="preserve"> For more information about the difference between chronic absenteeism and truancy, visit th</w:t>
      </w:r>
      <w:r w:rsidR="005447BE" w:rsidRPr="0066085F">
        <w:rPr>
          <w:rFonts w:ascii="Times New Roman" w:hAnsi="Times New Roman" w:cs="Times New Roman"/>
          <w:sz w:val="24"/>
          <w:szCs w:val="24"/>
        </w:rPr>
        <w:t>e</w:t>
      </w:r>
      <w:r w:rsidR="00590A92" w:rsidRPr="0066085F">
        <w:rPr>
          <w:rFonts w:ascii="Times New Roman" w:hAnsi="Times New Roman" w:cs="Times New Roman"/>
          <w:sz w:val="24"/>
          <w:szCs w:val="24"/>
        </w:rPr>
        <w:t xml:space="preserve"> </w:t>
      </w:r>
      <w:hyperlink r:id="rId15" w:history="1">
        <w:r w:rsidR="00590A92" w:rsidRPr="0066085F">
          <w:rPr>
            <w:rStyle w:val="Hyperlink"/>
            <w:rFonts w:ascii="Times New Roman" w:hAnsi="Times New Roman" w:cs="Times New Roman"/>
            <w:i/>
            <w:sz w:val="24"/>
            <w:szCs w:val="24"/>
          </w:rPr>
          <w:t>Attendance Works</w:t>
        </w:r>
      </w:hyperlink>
      <w:r w:rsidR="006E688E" w:rsidRPr="0066085F">
        <w:rPr>
          <w:rFonts w:ascii="Times New Roman" w:hAnsi="Times New Roman" w:cs="Times New Roman"/>
          <w:sz w:val="24"/>
          <w:szCs w:val="24"/>
        </w:rPr>
        <w:t xml:space="preserve"> webpage.</w:t>
      </w:r>
    </w:p>
    <w:p w14:paraId="4FE06FD1" w14:textId="77777777" w:rsidR="00380F6A" w:rsidRDefault="00380F6A" w:rsidP="00FE70B8">
      <w:pPr>
        <w:spacing w:after="120" w:line="276" w:lineRule="auto"/>
        <w:contextualSpacing/>
        <w:rPr>
          <w:rFonts w:ascii="Times New Roman" w:hAnsi="Times New Roman" w:cs="Times New Roman"/>
          <w:b/>
        </w:rPr>
      </w:pPr>
    </w:p>
    <w:p w14:paraId="45B314FE" w14:textId="77777777" w:rsidR="003F63E7" w:rsidRPr="0066085F" w:rsidRDefault="003F63E7" w:rsidP="00AA22DD">
      <w:pPr>
        <w:pStyle w:val="Heading2"/>
        <w:rPr>
          <w:sz w:val="24"/>
          <w:szCs w:val="24"/>
        </w:rPr>
      </w:pPr>
      <w:bookmarkStart w:id="8" w:name="_Are_suspended_students_1"/>
      <w:bookmarkStart w:id="9" w:name="_GoBack"/>
      <w:bookmarkEnd w:id="8"/>
      <w:bookmarkEnd w:id="9"/>
      <w:r w:rsidRPr="0066085F">
        <w:rPr>
          <w:sz w:val="24"/>
          <w:szCs w:val="24"/>
        </w:rPr>
        <w:t xml:space="preserve">Are suspended students included in the calculation of a school’s absenteeism rate? </w:t>
      </w:r>
    </w:p>
    <w:p w14:paraId="0239281F" w14:textId="77777777" w:rsidR="001E776C" w:rsidRPr="0066085F" w:rsidRDefault="0059180B" w:rsidP="00FE70B8">
      <w:pPr>
        <w:shd w:val="clear" w:color="auto" w:fill="FFFFFF"/>
        <w:spacing w:after="120" w:line="276" w:lineRule="auto"/>
        <w:contextualSpacing/>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 xml:space="preserve">Yes. Students suspended from school are included in the </w:t>
      </w:r>
      <w:r w:rsidR="00A049E3" w:rsidRPr="0066085F">
        <w:rPr>
          <w:rFonts w:ascii="Times New Roman" w:eastAsia="Times New Roman" w:hAnsi="Times New Roman" w:cs="Times New Roman"/>
          <w:color w:val="000000"/>
          <w:sz w:val="24"/>
          <w:szCs w:val="24"/>
        </w:rPr>
        <w:t xml:space="preserve">chronic </w:t>
      </w:r>
      <w:r w:rsidRPr="0066085F">
        <w:rPr>
          <w:rFonts w:ascii="Times New Roman" w:eastAsia="Times New Roman" w:hAnsi="Times New Roman" w:cs="Times New Roman"/>
          <w:color w:val="000000"/>
          <w:sz w:val="24"/>
          <w:szCs w:val="24"/>
        </w:rPr>
        <w:t>absenteeism calculation.</w:t>
      </w:r>
    </w:p>
    <w:p w14:paraId="65C4EA8D" w14:textId="77777777" w:rsidR="001E776C" w:rsidRPr="006E688E" w:rsidRDefault="001E776C" w:rsidP="00FE70B8">
      <w:pPr>
        <w:shd w:val="clear" w:color="auto" w:fill="FFFFFF"/>
        <w:spacing w:after="120" w:line="276" w:lineRule="auto"/>
        <w:contextualSpacing/>
        <w:rPr>
          <w:rFonts w:ascii="Times New Roman" w:eastAsia="Times New Roman" w:hAnsi="Times New Roman" w:cs="Times New Roman"/>
          <w:b/>
          <w:bCs/>
          <w:color w:val="333333"/>
        </w:rPr>
      </w:pPr>
    </w:p>
    <w:p w14:paraId="4E671364" w14:textId="77777777" w:rsidR="00076776" w:rsidRPr="0066085F" w:rsidRDefault="0059180B" w:rsidP="00AA22DD">
      <w:pPr>
        <w:pStyle w:val="Heading2"/>
        <w:rPr>
          <w:rStyle w:val="Heading1Char"/>
          <w:b/>
          <w:sz w:val="24"/>
          <w:szCs w:val="24"/>
        </w:rPr>
      </w:pPr>
      <w:bookmarkStart w:id="10" w:name="_Are_students_receiving_3"/>
      <w:bookmarkEnd w:id="10"/>
      <w:r w:rsidRPr="0066085F">
        <w:rPr>
          <w:rStyle w:val="Heading1Char"/>
          <w:b/>
          <w:sz w:val="24"/>
          <w:szCs w:val="24"/>
        </w:rPr>
        <w:lastRenderedPageBreak/>
        <w:t>Are students receiving educational services at home due to a suspension, expulsion or other disciplinary action included in the calculation of a school’s absenteeism rate?</w:t>
      </w:r>
    </w:p>
    <w:p w14:paraId="635FD0F2" w14:textId="77777777" w:rsidR="00EE28E2" w:rsidRPr="0066085F" w:rsidRDefault="0059180B" w:rsidP="00076776">
      <w:pPr>
        <w:rPr>
          <w:rFonts w:ascii="Times New Roman" w:hAnsi="Times New Roman" w:cs="Times New Roman"/>
          <w:sz w:val="24"/>
          <w:szCs w:val="24"/>
        </w:rPr>
      </w:pPr>
      <w:r w:rsidRPr="0066085F">
        <w:rPr>
          <w:rFonts w:ascii="Times New Roman" w:hAnsi="Times New Roman" w:cs="Times New Roman"/>
          <w:sz w:val="24"/>
          <w:szCs w:val="24"/>
        </w:rPr>
        <w:t xml:space="preserve">No. Students receiving instructional services in their homes due to disciplinary actions are excluded from the </w:t>
      </w:r>
      <w:r w:rsidR="00A049E3" w:rsidRPr="0066085F">
        <w:rPr>
          <w:rFonts w:ascii="Times New Roman" w:hAnsi="Times New Roman" w:cs="Times New Roman"/>
          <w:sz w:val="24"/>
          <w:szCs w:val="24"/>
        </w:rPr>
        <w:t xml:space="preserve">chronic </w:t>
      </w:r>
      <w:r w:rsidRPr="0066085F">
        <w:rPr>
          <w:rFonts w:ascii="Times New Roman" w:hAnsi="Times New Roman" w:cs="Times New Roman"/>
          <w:sz w:val="24"/>
          <w:szCs w:val="24"/>
        </w:rPr>
        <w:t>absenteeism calculation.</w:t>
      </w:r>
      <w:r w:rsidR="007E5507" w:rsidRPr="0066085F">
        <w:rPr>
          <w:rFonts w:ascii="Times New Roman" w:hAnsi="Times New Roman" w:cs="Times New Roman"/>
          <w:sz w:val="24"/>
          <w:szCs w:val="24"/>
        </w:rPr>
        <w:t xml:space="preserve"> </w:t>
      </w:r>
      <w:r w:rsidR="006B0411" w:rsidRPr="0066085F">
        <w:rPr>
          <w:rFonts w:ascii="Times New Roman" w:hAnsi="Times New Roman" w:cs="Times New Roman"/>
          <w:sz w:val="24"/>
          <w:szCs w:val="24"/>
        </w:rPr>
        <w:t xml:space="preserve">For the purposes of calculation of the </w:t>
      </w:r>
      <w:r w:rsidR="00A049E3" w:rsidRPr="0066085F">
        <w:rPr>
          <w:rFonts w:ascii="Times New Roman" w:hAnsi="Times New Roman" w:cs="Times New Roman"/>
          <w:sz w:val="24"/>
          <w:szCs w:val="24"/>
        </w:rPr>
        <w:t xml:space="preserve">chronic </w:t>
      </w:r>
      <w:r w:rsidR="006B0411" w:rsidRPr="0066085F">
        <w:rPr>
          <w:rFonts w:ascii="Times New Roman" w:hAnsi="Times New Roman" w:cs="Times New Roman"/>
          <w:sz w:val="24"/>
          <w:szCs w:val="24"/>
        </w:rPr>
        <w:t>absenteeism rate, i</w:t>
      </w:r>
      <w:r w:rsidR="007E5507" w:rsidRPr="0066085F">
        <w:rPr>
          <w:rFonts w:ascii="Times New Roman" w:hAnsi="Times New Roman" w:cs="Times New Roman"/>
          <w:sz w:val="24"/>
          <w:szCs w:val="24"/>
        </w:rPr>
        <w:t xml:space="preserve">nstructional services include </w:t>
      </w:r>
      <w:r w:rsidR="00C12965" w:rsidRPr="0066085F">
        <w:rPr>
          <w:rFonts w:ascii="Times New Roman" w:hAnsi="Times New Roman" w:cs="Times New Roman"/>
          <w:sz w:val="24"/>
          <w:szCs w:val="24"/>
        </w:rPr>
        <w:t xml:space="preserve">a </w:t>
      </w:r>
      <w:r w:rsidR="007E5507" w:rsidRPr="0066085F">
        <w:rPr>
          <w:rFonts w:ascii="Times New Roman" w:hAnsi="Times New Roman" w:cs="Times New Roman"/>
          <w:sz w:val="24"/>
          <w:szCs w:val="24"/>
        </w:rPr>
        <w:t>student</w:t>
      </w:r>
      <w:r w:rsidR="00C12965" w:rsidRPr="0066085F">
        <w:rPr>
          <w:rFonts w:ascii="Times New Roman" w:hAnsi="Times New Roman" w:cs="Times New Roman"/>
          <w:sz w:val="24"/>
          <w:szCs w:val="24"/>
        </w:rPr>
        <w:t>’s</w:t>
      </w:r>
      <w:r w:rsidR="007E5507" w:rsidRPr="0066085F">
        <w:rPr>
          <w:rFonts w:ascii="Times New Roman" w:hAnsi="Times New Roman" w:cs="Times New Roman"/>
          <w:sz w:val="24"/>
          <w:szCs w:val="24"/>
        </w:rPr>
        <w:t xml:space="preserve"> attendance at an alternative education placement</w:t>
      </w:r>
      <w:r w:rsidR="00A049E3" w:rsidRPr="0066085F">
        <w:rPr>
          <w:rFonts w:ascii="Times New Roman" w:hAnsi="Times New Roman" w:cs="Times New Roman"/>
          <w:sz w:val="24"/>
          <w:szCs w:val="24"/>
        </w:rPr>
        <w:t>,</w:t>
      </w:r>
      <w:r w:rsidR="00EE28E2" w:rsidRPr="0066085F">
        <w:rPr>
          <w:rFonts w:ascii="Times New Roman" w:hAnsi="Times New Roman" w:cs="Times New Roman"/>
          <w:sz w:val="24"/>
          <w:szCs w:val="24"/>
        </w:rPr>
        <w:t xml:space="preserve"> </w:t>
      </w:r>
      <w:r w:rsidR="006B0411" w:rsidRPr="0066085F">
        <w:rPr>
          <w:rFonts w:ascii="Times New Roman" w:hAnsi="Times New Roman" w:cs="Times New Roman"/>
          <w:sz w:val="24"/>
          <w:szCs w:val="24"/>
        </w:rPr>
        <w:t xml:space="preserve">and </w:t>
      </w:r>
      <w:r w:rsidR="00C12965" w:rsidRPr="0066085F">
        <w:rPr>
          <w:rFonts w:ascii="Times New Roman" w:hAnsi="Times New Roman" w:cs="Times New Roman"/>
          <w:sz w:val="24"/>
          <w:szCs w:val="24"/>
        </w:rPr>
        <w:t xml:space="preserve">school board approved </w:t>
      </w:r>
      <w:r w:rsidR="00EE28E2" w:rsidRPr="0066085F">
        <w:rPr>
          <w:rFonts w:ascii="Times New Roman" w:hAnsi="Times New Roman" w:cs="Times New Roman"/>
          <w:sz w:val="24"/>
          <w:szCs w:val="24"/>
        </w:rPr>
        <w:t xml:space="preserve">home-based services. </w:t>
      </w:r>
    </w:p>
    <w:p w14:paraId="6DDFCA26" w14:textId="77777777" w:rsidR="00EE28E2" w:rsidRPr="0066085F" w:rsidRDefault="00EE28E2" w:rsidP="00FE70B8">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 xml:space="preserve">If a student is suspended and subsequently removed from school </w:t>
      </w:r>
      <w:r w:rsidR="006B0411" w:rsidRPr="0066085F">
        <w:rPr>
          <w:rFonts w:ascii="Times New Roman" w:hAnsi="Times New Roman" w:cs="Times New Roman"/>
          <w:sz w:val="24"/>
          <w:szCs w:val="24"/>
        </w:rPr>
        <w:t xml:space="preserve">by his/her parent(s) </w:t>
      </w:r>
      <w:r w:rsidR="00590A92" w:rsidRPr="0066085F">
        <w:rPr>
          <w:rFonts w:ascii="Times New Roman" w:hAnsi="Times New Roman" w:cs="Times New Roman"/>
          <w:sz w:val="24"/>
          <w:szCs w:val="24"/>
        </w:rPr>
        <w:t>to attend</w:t>
      </w:r>
      <w:r w:rsidRPr="0066085F">
        <w:rPr>
          <w:rFonts w:ascii="Times New Roman" w:hAnsi="Times New Roman" w:cs="Times New Roman"/>
          <w:sz w:val="24"/>
          <w:szCs w:val="24"/>
        </w:rPr>
        <w:t xml:space="preserve"> an approved </w:t>
      </w:r>
      <w:hyperlink r:id="rId16" w:history="1">
        <w:r w:rsidRPr="0066085F">
          <w:rPr>
            <w:rStyle w:val="Hyperlink"/>
            <w:rFonts w:ascii="Times New Roman" w:hAnsi="Times New Roman" w:cs="Times New Roman"/>
            <w:sz w:val="24"/>
            <w:szCs w:val="24"/>
          </w:rPr>
          <w:t>home school program</w:t>
        </w:r>
      </w:hyperlink>
      <w:r w:rsidRPr="0066085F">
        <w:rPr>
          <w:rFonts w:ascii="Times New Roman" w:hAnsi="Times New Roman" w:cs="Times New Roman"/>
          <w:sz w:val="24"/>
          <w:szCs w:val="24"/>
        </w:rPr>
        <w:t xml:space="preserve">, the requirements set forth in </w:t>
      </w:r>
      <w:hyperlink r:id="rId17" w:history="1">
        <w:r w:rsidRPr="0066085F">
          <w:rPr>
            <w:rStyle w:val="Hyperlink"/>
            <w:rFonts w:ascii="Times New Roman" w:hAnsi="Times New Roman" w:cs="Times New Roman"/>
            <w:sz w:val="24"/>
            <w:szCs w:val="24"/>
          </w:rPr>
          <w:t>§ 22.1-254.1</w:t>
        </w:r>
      </w:hyperlink>
      <w:r w:rsidRPr="0066085F">
        <w:rPr>
          <w:rFonts w:ascii="Times New Roman" w:hAnsi="Times New Roman" w:cs="Times New Roman"/>
          <w:sz w:val="24"/>
          <w:szCs w:val="24"/>
        </w:rPr>
        <w:t xml:space="preserve"> should be followed by the student’s parents and school division personnel prior to the student’s removal from the school roster. </w:t>
      </w:r>
    </w:p>
    <w:p w14:paraId="3D5B05C5" w14:textId="77777777" w:rsidR="00FE70B8" w:rsidRPr="006E688E" w:rsidRDefault="00FE70B8" w:rsidP="00FE70B8">
      <w:pPr>
        <w:shd w:val="clear" w:color="auto" w:fill="FFFFFF"/>
        <w:spacing w:after="120" w:line="276" w:lineRule="auto"/>
        <w:contextualSpacing/>
        <w:rPr>
          <w:rFonts w:ascii="Times New Roman" w:eastAsia="Times New Roman" w:hAnsi="Times New Roman" w:cs="Times New Roman"/>
          <w:b/>
          <w:color w:val="000000"/>
        </w:rPr>
      </w:pPr>
    </w:p>
    <w:p w14:paraId="67F93B0B" w14:textId="77777777" w:rsidR="0059180B" w:rsidRPr="0066085F" w:rsidRDefault="0059180B" w:rsidP="008A7B19">
      <w:pPr>
        <w:pStyle w:val="Heading2"/>
        <w:rPr>
          <w:sz w:val="24"/>
          <w:szCs w:val="24"/>
        </w:rPr>
      </w:pPr>
      <w:bookmarkStart w:id="11" w:name="_Are_students_receiving_2"/>
      <w:bookmarkEnd w:id="11"/>
      <w:r w:rsidRPr="0066085F">
        <w:rPr>
          <w:sz w:val="24"/>
          <w:szCs w:val="24"/>
        </w:rPr>
        <w:t>Are students receiving homebound instruction included in the calculation of a school’s chronic absenteeism rate?</w:t>
      </w:r>
    </w:p>
    <w:p w14:paraId="5F5B0516" w14:textId="77777777" w:rsidR="0059180B" w:rsidRPr="0066085F" w:rsidRDefault="0059180B" w:rsidP="00FE70B8">
      <w:pPr>
        <w:shd w:val="clear" w:color="auto" w:fill="FFFFFF"/>
        <w:spacing w:after="120" w:line="276" w:lineRule="auto"/>
        <w:contextualSpacing/>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No. Students receiving homebound instruction for medical illness at any point in the year are excluded from the chronic absenteeism calculations for the entire year.</w:t>
      </w:r>
    </w:p>
    <w:p w14:paraId="41DF1301" w14:textId="77777777" w:rsidR="0059180B" w:rsidRPr="0066085F" w:rsidRDefault="0059180B" w:rsidP="00FE70B8">
      <w:pPr>
        <w:shd w:val="clear" w:color="auto" w:fill="FFFFFF"/>
        <w:spacing w:after="120" w:line="276" w:lineRule="auto"/>
        <w:contextualSpacing/>
        <w:rPr>
          <w:rFonts w:ascii="Times New Roman" w:eastAsia="Times New Roman" w:hAnsi="Times New Roman" w:cs="Times New Roman"/>
          <w:color w:val="000000"/>
          <w:sz w:val="24"/>
          <w:szCs w:val="24"/>
        </w:rPr>
      </w:pPr>
    </w:p>
    <w:p w14:paraId="25E8EA6D" w14:textId="77777777" w:rsidR="0059180B" w:rsidRPr="0066085F" w:rsidRDefault="0059180B" w:rsidP="00AA22DD">
      <w:pPr>
        <w:pStyle w:val="Heading2"/>
        <w:rPr>
          <w:sz w:val="24"/>
          <w:szCs w:val="24"/>
        </w:rPr>
      </w:pPr>
      <w:bookmarkStart w:id="12" w:name="_How_are_students"/>
      <w:bookmarkEnd w:id="12"/>
      <w:r w:rsidRPr="0066085F">
        <w:rPr>
          <w:sz w:val="24"/>
          <w:szCs w:val="24"/>
        </w:rPr>
        <w:t>How are students who transfer after the start of the year considered in the chronic absenteeism calculation?</w:t>
      </w:r>
    </w:p>
    <w:p w14:paraId="73762200" w14:textId="77777777" w:rsidR="0059180B" w:rsidRPr="0066085F" w:rsidRDefault="0059180B" w:rsidP="00FE70B8">
      <w:pPr>
        <w:shd w:val="clear" w:color="auto" w:fill="FFFFFF"/>
        <w:spacing w:after="120" w:line="276" w:lineRule="auto"/>
        <w:contextualSpacing/>
        <w:rPr>
          <w:rFonts w:ascii="Times New Roman" w:eastAsia="Times New Roman" w:hAnsi="Times New Roman" w:cs="Times New Roman"/>
          <w:color w:val="000000"/>
          <w:sz w:val="24"/>
          <w:szCs w:val="24"/>
        </w:rPr>
      </w:pPr>
      <w:r w:rsidRPr="0066085F">
        <w:rPr>
          <w:rFonts w:ascii="Times New Roman" w:eastAsia="Times New Roman" w:hAnsi="Times New Roman" w:cs="Times New Roman"/>
          <w:color w:val="000000"/>
          <w:sz w:val="24"/>
          <w:szCs w:val="24"/>
        </w:rPr>
        <w:t>Transfer students are counted in a school’s chronic absenteeism rate if they are enrolled in the school for greater than 50 percent or more of the school year.</w:t>
      </w:r>
    </w:p>
    <w:p w14:paraId="16034201" w14:textId="77777777" w:rsidR="0059180B" w:rsidRPr="0066085F" w:rsidRDefault="0059180B" w:rsidP="00FE70B8">
      <w:pPr>
        <w:spacing w:after="120" w:line="276" w:lineRule="auto"/>
        <w:contextualSpacing/>
        <w:rPr>
          <w:rFonts w:ascii="Times New Roman" w:hAnsi="Times New Roman" w:cs="Times New Roman"/>
          <w:sz w:val="24"/>
          <w:szCs w:val="24"/>
        </w:rPr>
      </w:pPr>
    </w:p>
    <w:p w14:paraId="1607D856" w14:textId="77777777" w:rsidR="00C12965" w:rsidRPr="0066085F" w:rsidRDefault="00A96997" w:rsidP="00AA22DD">
      <w:pPr>
        <w:pStyle w:val="Heading2"/>
        <w:rPr>
          <w:sz w:val="24"/>
          <w:szCs w:val="24"/>
        </w:rPr>
      </w:pPr>
      <w:bookmarkStart w:id="13" w:name="_Where_can_I"/>
      <w:bookmarkEnd w:id="13"/>
      <w:r w:rsidRPr="0066085F">
        <w:rPr>
          <w:sz w:val="24"/>
          <w:szCs w:val="24"/>
        </w:rPr>
        <w:t xml:space="preserve">Where can I find </w:t>
      </w:r>
      <w:r w:rsidR="00C12965" w:rsidRPr="0066085F">
        <w:rPr>
          <w:sz w:val="24"/>
          <w:szCs w:val="24"/>
        </w:rPr>
        <w:t xml:space="preserve">resources </w:t>
      </w:r>
      <w:r w:rsidRPr="0066085F">
        <w:rPr>
          <w:sz w:val="24"/>
          <w:szCs w:val="24"/>
        </w:rPr>
        <w:t xml:space="preserve">to help my school </w:t>
      </w:r>
      <w:r w:rsidR="00C12965" w:rsidRPr="0066085F">
        <w:rPr>
          <w:sz w:val="24"/>
          <w:szCs w:val="24"/>
        </w:rPr>
        <w:t>address chronic absenteeism?</w:t>
      </w:r>
    </w:p>
    <w:p w14:paraId="46032905" w14:textId="18CEAF29" w:rsidR="00C12965" w:rsidRPr="0066085F" w:rsidRDefault="00C12965" w:rsidP="00FE70B8">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Resources to address chronic absenteeism can be found through the Virginia Department of Education</w:t>
      </w:r>
      <w:r w:rsidR="00FE70B8" w:rsidRPr="0066085F">
        <w:rPr>
          <w:rFonts w:ascii="Times New Roman" w:hAnsi="Times New Roman" w:cs="Times New Roman"/>
          <w:sz w:val="24"/>
          <w:szCs w:val="24"/>
        </w:rPr>
        <w:t>’s</w:t>
      </w:r>
      <w:r w:rsidRPr="0066085F">
        <w:rPr>
          <w:rFonts w:ascii="Times New Roman" w:hAnsi="Times New Roman" w:cs="Times New Roman"/>
          <w:sz w:val="24"/>
          <w:szCs w:val="24"/>
        </w:rPr>
        <w:t xml:space="preserve"> </w:t>
      </w:r>
      <w:hyperlink r:id="rId18" w:history="1">
        <w:r w:rsidR="0066085F" w:rsidRPr="0066085F">
          <w:rPr>
            <w:rStyle w:val="Hyperlink"/>
            <w:rFonts w:ascii="Times New Roman" w:hAnsi="Times New Roman" w:cs="Times New Roman"/>
            <w:i/>
            <w:sz w:val="24"/>
            <w:szCs w:val="24"/>
          </w:rPr>
          <w:t>Truancy and Attendance</w:t>
        </w:r>
      </w:hyperlink>
      <w:r w:rsidR="0066085F" w:rsidRPr="0066085F">
        <w:rPr>
          <w:rStyle w:val="Hyperlink"/>
          <w:rFonts w:ascii="Times New Roman" w:hAnsi="Times New Roman" w:cs="Times New Roman"/>
          <w:i/>
          <w:sz w:val="24"/>
          <w:szCs w:val="24"/>
          <w:u w:val="none"/>
        </w:rPr>
        <w:t xml:space="preserve"> </w:t>
      </w:r>
      <w:r w:rsidR="0066085F" w:rsidRPr="0066085F">
        <w:rPr>
          <w:rStyle w:val="Hyperlink"/>
          <w:rFonts w:ascii="Times New Roman" w:hAnsi="Times New Roman" w:cs="Times New Roman"/>
          <w:color w:val="auto"/>
          <w:sz w:val="24"/>
          <w:szCs w:val="24"/>
          <w:u w:val="none"/>
        </w:rPr>
        <w:t>webpage</w:t>
      </w:r>
      <w:r w:rsidR="0066085F" w:rsidRPr="0066085F">
        <w:rPr>
          <w:rStyle w:val="Hyperlink"/>
          <w:rFonts w:ascii="Times New Roman" w:hAnsi="Times New Roman" w:cs="Times New Roman"/>
          <w:sz w:val="24"/>
          <w:szCs w:val="24"/>
          <w:u w:val="none"/>
        </w:rPr>
        <w:t>.</w:t>
      </w:r>
      <w:r w:rsidRPr="0066085F">
        <w:rPr>
          <w:rFonts w:ascii="Times New Roman" w:hAnsi="Times New Roman" w:cs="Times New Roman"/>
          <w:sz w:val="24"/>
          <w:szCs w:val="24"/>
        </w:rPr>
        <w:t xml:space="preserve"> Additionally, the VDOE offers a </w:t>
      </w:r>
      <w:hyperlink r:id="rId19" w:history="1">
        <w:r w:rsidR="00FE70B8" w:rsidRPr="0066085F">
          <w:rPr>
            <w:rStyle w:val="Hyperlink"/>
            <w:rFonts w:ascii="Times New Roman" w:hAnsi="Times New Roman" w:cs="Times New Roman"/>
            <w:sz w:val="24"/>
            <w:szCs w:val="24"/>
          </w:rPr>
          <w:t>12-part professional development web module</w:t>
        </w:r>
        <w:r w:rsidR="00A049E3" w:rsidRPr="0066085F">
          <w:rPr>
            <w:rStyle w:val="Hyperlink"/>
            <w:rFonts w:ascii="Times New Roman" w:hAnsi="Times New Roman" w:cs="Times New Roman"/>
            <w:sz w:val="24"/>
            <w:szCs w:val="24"/>
          </w:rPr>
          <w:t xml:space="preserve"> </w:t>
        </w:r>
        <w:r w:rsidR="00FE70B8" w:rsidRPr="0066085F">
          <w:rPr>
            <w:rStyle w:val="Hyperlink"/>
            <w:rFonts w:ascii="Times New Roman" w:hAnsi="Times New Roman" w:cs="Times New Roman"/>
            <w:sz w:val="24"/>
            <w:szCs w:val="24"/>
          </w:rPr>
          <w:t>s</w:t>
        </w:r>
        <w:r w:rsidR="00A049E3" w:rsidRPr="0066085F">
          <w:rPr>
            <w:rStyle w:val="Hyperlink"/>
            <w:rFonts w:ascii="Times New Roman" w:hAnsi="Times New Roman" w:cs="Times New Roman"/>
            <w:sz w:val="24"/>
            <w:szCs w:val="24"/>
          </w:rPr>
          <w:t>eries</w:t>
        </w:r>
      </w:hyperlink>
      <w:r w:rsidR="00FE70B8" w:rsidRPr="0066085F">
        <w:rPr>
          <w:rFonts w:ascii="Times New Roman" w:hAnsi="Times New Roman" w:cs="Times New Roman"/>
          <w:sz w:val="24"/>
          <w:szCs w:val="24"/>
        </w:rPr>
        <w:t xml:space="preserve"> that discuss strategies for</w:t>
      </w:r>
      <w:r w:rsidRPr="0066085F">
        <w:rPr>
          <w:rFonts w:ascii="Times New Roman" w:hAnsi="Times New Roman" w:cs="Times New Roman"/>
          <w:sz w:val="24"/>
          <w:szCs w:val="24"/>
        </w:rPr>
        <w:t xml:space="preserve"> addressing chronic </w:t>
      </w:r>
      <w:r w:rsidR="00FE70B8" w:rsidRPr="0066085F">
        <w:rPr>
          <w:rFonts w:ascii="Times New Roman" w:hAnsi="Times New Roman" w:cs="Times New Roman"/>
          <w:sz w:val="24"/>
          <w:szCs w:val="24"/>
        </w:rPr>
        <w:t>absenteeism</w:t>
      </w:r>
      <w:r w:rsidRPr="0066085F">
        <w:rPr>
          <w:rFonts w:ascii="Times New Roman" w:hAnsi="Times New Roman" w:cs="Times New Roman"/>
          <w:sz w:val="24"/>
          <w:szCs w:val="24"/>
        </w:rPr>
        <w:t xml:space="preserve">. </w:t>
      </w:r>
    </w:p>
    <w:p w14:paraId="02496D20" w14:textId="77777777" w:rsidR="00C12965" w:rsidRPr="006E688E" w:rsidRDefault="00C12965" w:rsidP="00FE70B8">
      <w:pPr>
        <w:spacing w:after="120" w:line="276" w:lineRule="auto"/>
        <w:contextualSpacing/>
        <w:rPr>
          <w:rFonts w:ascii="Times New Roman" w:hAnsi="Times New Roman" w:cs="Times New Roman"/>
        </w:rPr>
      </w:pPr>
    </w:p>
    <w:p w14:paraId="55EC22F7" w14:textId="48031BF2" w:rsidR="00590A92" w:rsidRPr="0066085F" w:rsidRDefault="00C12965" w:rsidP="00FE70B8">
      <w:pPr>
        <w:spacing w:after="120" w:line="276" w:lineRule="auto"/>
        <w:contextualSpacing/>
        <w:rPr>
          <w:rFonts w:ascii="Times New Roman" w:hAnsi="Times New Roman" w:cs="Times New Roman"/>
          <w:sz w:val="24"/>
          <w:szCs w:val="24"/>
        </w:rPr>
      </w:pPr>
      <w:r w:rsidRPr="0066085F">
        <w:rPr>
          <w:rFonts w:ascii="Times New Roman" w:hAnsi="Times New Roman" w:cs="Times New Roman"/>
          <w:sz w:val="24"/>
          <w:szCs w:val="24"/>
        </w:rPr>
        <w:t xml:space="preserve">Additional resources for addressing chronic absenteeism can be found through </w:t>
      </w:r>
      <w:hyperlink r:id="rId20" w:history="1">
        <w:r w:rsidRPr="0066085F">
          <w:rPr>
            <w:rStyle w:val="Hyperlink"/>
            <w:rFonts w:ascii="Times New Roman" w:hAnsi="Times New Roman" w:cs="Times New Roman"/>
            <w:i/>
            <w:sz w:val="24"/>
            <w:szCs w:val="24"/>
          </w:rPr>
          <w:t>Attendance Works</w:t>
        </w:r>
      </w:hyperlink>
      <w:r w:rsidRPr="0066085F">
        <w:rPr>
          <w:rFonts w:ascii="Times New Roman" w:hAnsi="Times New Roman" w:cs="Times New Roman"/>
          <w:sz w:val="24"/>
          <w:szCs w:val="24"/>
        </w:rPr>
        <w:t>.</w:t>
      </w:r>
      <w:r w:rsidR="00FE70B8" w:rsidRPr="0066085F">
        <w:rPr>
          <w:rFonts w:ascii="Times New Roman" w:hAnsi="Times New Roman" w:cs="Times New Roman"/>
          <w:sz w:val="24"/>
          <w:szCs w:val="24"/>
        </w:rPr>
        <w:t xml:space="preserve"> These resources include</w:t>
      </w:r>
      <w:r w:rsidR="00C435A0" w:rsidRPr="0066085F">
        <w:rPr>
          <w:rFonts w:ascii="Times New Roman" w:hAnsi="Times New Roman" w:cs="Times New Roman"/>
          <w:sz w:val="24"/>
          <w:szCs w:val="24"/>
        </w:rPr>
        <w:t xml:space="preserve"> the</w:t>
      </w:r>
      <w:r w:rsidR="00590A92" w:rsidRPr="0066085F">
        <w:rPr>
          <w:rFonts w:ascii="Times New Roman" w:hAnsi="Times New Roman" w:cs="Times New Roman"/>
          <w:sz w:val="24"/>
          <w:szCs w:val="24"/>
        </w:rPr>
        <w:t xml:space="preserve"> </w:t>
      </w:r>
      <w:hyperlink r:id="rId21" w:history="1">
        <w:r w:rsidR="0066085F" w:rsidRPr="0066085F">
          <w:rPr>
            <w:rStyle w:val="Hyperlink"/>
            <w:rFonts w:ascii="Times New Roman" w:hAnsi="Times New Roman" w:cs="Times New Roman"/>
            <w:i/>
            <w:sz w:val="24"/>
            <w:szCs w:val="24"/>
          </w:rPr>
          <w:t>three</w:t>
        </w:r>
        <w:r w:rsidR="00590A92" w:rsidRPr="0066085F">
          <w:rPr>
            <w:rStyle w:val="Hyperlink"/>
            <w:rFonts w:ascii="Times New Roman" w:hAnsi="Times New Roman" w:cs="Times New Roman"/>
            <w:i/>
            <w:sz w:val="24"/>
            <w:szCs w:val="24"/>
          </w:rPr>
          <w:t xml:space="preserve"> Tiers of Intervention</w:t>
        </w:r>
        <w:r w:rsidR="00590A92" w:rsidRPr="0066085F">
          <w:rPr>
            <w:rStyle w:val="Hyperlink"/>
            <w:rFonts w:ascii="Times New Roman" w:hAnsi="Times New Roman" w:cs="Times New Roman"/>
            <w:i/>
            <w:sz w:val="24"/>
            <w:szCs w:val="24"/>
            <w:u w:val="none"/>
          </w:rPr>
          <w:t xml:space="preserve"> </w:t>
        </w:r>
      </w:hyperlink>
      <w:r w:rsidR="00FE70B8" w:rsidRPr="0066085F">
        <w:rPr>
          <w:rFonts w:ascii="Times New Roman" w:hAnsi="Times New Roman" w:cs="Times New Roman"/>
          <w:sz w:val="24"/>
          <w:szCs w:val="24"/>
        </w:rPr>
        <w:t xml:space="preserve">template document, to help guide action </w:t>
      </w:r>
      <w:r w:rsidR="00590A92" w:rsidRPr="0066085F">
        <w:rPr>
          <w:rFonts w:ascii="Times New Roman" w:hAnsi="Times New Roman" w:cs="Times New Roman"/>
          <w:sz w:val="24"/>
          <w:szCs w:val="24"/>
        </w:rPr>
        <w:t xml:space="preserve">planning for your school or school division. </w:t>
      </w:r>
      <w:r w:rsidR="00FE70B8" w:rsidRPr="0066085F">
        <w:rPr>
          <w:rFonts w:ascii="Times New Roman" w:hAnsi="Times New Roman" w:cs="Times New Roman"/>
          <w:sz w:val="24"/>
          <w:szCs w:val="24"/>
        </w:rPr>
        <w:t xml:space="preserve">You can also </w:t>
      </w:r>
      <w:r w:rsidR="00590A92" w:rsidRPr="0066085F">
        <w:rPr>
          <w:rFonts w:ascii="Times New Roman" w:hAnsi="Times New Roman" w:cs="Times New Roman"/>
          <w:sz w:val="24"/>
          <w:szCs w:val="24"/>
        </w:rPr>
        <w:t xml:space="preserve">download the intervention worksheet to see universal (Tier 1), Targeted (Tier 2), and Individualized (Tier 3) intervention options. Although this is not an exhaustive list, this worksheet provides a review of strategies and interventions across the continuum of tiers. </w:t>
      </w:r>
    </w:p>
    <w:p w14:paraId="5F063C5E" w14:textId="77777777" w:rsidR="00590A92" w:rsidRPr="006E688E" w:rsidRDefault="00590A92" w:rsidP="00C12965">
      <w:pPr>
        <w:spacing w:after="0" w:line="240" w:lineRule="auto"/>
        <w:rPr>
          <w:rFonts w:ascii="Times New Roman" w:hAnsi="Times New Roman" w:cs="Times New Roman"/>
        </w:rPr>
      </w:pPr>
    </w:p>
    <w:sectPr w:rsidR="00590A92" w:rsidRPr="006E688E" w:rsidSect="007E5507">
      <w:footerReference w:type="defaul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F2F2D" w14:textId="77777777" w:rsidR="007F4F19" w:rsidRDefault="007F4F19" w:rsidP="00380F6A">
      <w:pPr>
        <w:spacing w:after="0" w:line="240" w:lineRule="auto"/>
      </w:pPr>
      <w:r>
        <w:separator/>
      </w:r>
    </w:p>
    <w:p w14:paraId="07418042" w14:textId="77777777" w:rsidR="007F4F19" w:rsidRDefault="007F4F19"/>
    <w:p w14:paraId="76E20C36" w14:textId="77777777" w:rsidR="007F4F19" w:rsidRDefault="007F4F19" w:rsidP="005E5770"/>
  </w:endnote>
  <w:endnote w:type="continuationSeparator" w:id="0">
    <w:p w14:paraId="40ACCB8A" w14:textId="77777777" w:rsidR="007F4F19" w:rsidRDefault="007F4F19" w:rsidP="00380F6A">
      <w:pPr>
        <w:spacing w:after="0" w:line="240" w:lineRule="auto"/>
      </w:pPr>
      <w:r>
        <w:continuationSeparator/>
      </w:r>
    </w:p>
    <w:p w14:paraId="4009409A" w14:textId="77777777" w:rsidR="007F4F19" w:rsidRDefault="007F4F19"/>
    <w:p w14:paraId="3E003B1F" w14:textId="77777777" w:rsidR="007F4F19" w:rsidRDefault="007F4F19" w:rsidP="005E5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06003"/>
      <w:docPartObj>
        <w:docPartGallery w:val="Page Numbers (Bottom of Page)"/>
        <w:docPartUnique/>
      </w:docPartObj>
    </w:sdtPr>
    <w:sdtEndPr>
      <w:rPr>
        <w:noProof/>
      </w:rPr>
    </w:sdtEndPr>
    <w:sdtContent>
      <w:p w14:paraId="09A56A6D" w14:textId="5BDEED40" w:rsidR="00E210DA" w:rsidRDefault="00E210D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1B319A7" w14:textId="19D8A829" w:rsidR="007E5507" w:rsidRDefault="00E210DA">
    <w:pPr>
      <w:pStyle w:val="Footer"/>
    </w:pPr>
    <w:r w:rsidRPr="007E5507">
      <w:rPr>
        <w:rFonts w:cstheme="minorHAnsi"/>
        <w:b/>
        <w:noProof/>
        <w:sz w:val="44"/>
        <w:szCs w:val="44"/>
      </w:rPr>
      <w:drawing>
        <wp:anchor distT="0" distB="0" distL="114300" distR="114300" simplePos="0" relativeHeight="251658240" behindDoc="1" locked="0" layoutInCell="1" allowOverlap="1" wp14:anchorId="351A6E02" wp14:editId="69360B3F">
          <wp:simplePos x="0" y="0"/>
          <wp:positionH relativeFrom="column">
            <wp:posOffset>0</wp:posOffset>
          </wp:positionH>
          <wp:positionV relativeFrom="paragraph">
            <wp:posOffset>-528320</wp:posOffset>
          </wp:positionV>
          <wp:extent cx="1059180" cy="711835"/>
          <wp:effectExtent l="0" t="0" r="7620" b="0"/>
          <wp:wrapThrough wrapText="bothSides">
            <wp:wrapPolygon edited="0">
              <wp:start x="0" y="0"/>
              <wp:lineTo x="0" y="20810"/>
              <wp:lineTo x="21367" y="20810"/>
              <wp:lineTo x="21367" y="0"/>
              <wp:lineTo x="0" y="0"/>
            </wp:wrapPolygon>
          </wp:wrapThrough>
          <wp:docPr id="2" name="Picture 2" descr="Virginia Department of Education logo"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doe imag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180" cy="7118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C265" w14:textId="77777777" w:rsidR="007F4F19" w:rsidRDefault="007F4F19" w:rsidP="00380F6A">
      <w:pPr>
        <w:spacing w:after="0" w:line="240" w:lineRule="auto"/>
      </w:pPr>
      <w:r>
        <w:separator/>
      </w:r>
    </w:p>
    <w:p w14:paraId="61DB655F" w14:textId="77777777" w:rsidR="007F4F19" w:rsidRDefault="007F4F19"/>
    <w:p w14:paraId="38CCCEB2" w14:textId="77777777" w:rsidR="007F4F19" w:rsidRDefault="007F4F19" w:rsidP="005E5770"/>
  </w:footnote>
  <w:footnote w:type="continuationSeparator" w:id="0">
    <w:p w14:paraId="52E50DD2" w14:textId="77777777" w:rsidR="007F4F19" w:rsidRDefault="007F4F19" w:rsidP="00380F6A">
      <w:pPr>
        <w:spacing w:after="0" w:line="240" w:lineRule="auto"/>
      </w:pPr>
      <w:r>
        <w:continuationSeparator/>
      </w:r>
    </w:p>
    <w:p w14:paraId="3850243B" w14:textId="77777777" w:rsidR="007F4F19" w:rsidRDefault="007F4F19"/>
    <w:p w14:paraId="758AB755" w14:textId="77777777" w:rsidR="007F4F19" w:rsidRDefault="007F4F19" w:rsidP="005E57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AEB"/>
    <w:multiLevelType w:val="hybridMultilevel"/>
    <w:tmpl w:val="48E625E6"/>
    <w:lvl w:ilvl="0" w:tplc="459AB516">
      <w:start w:val="1"/>
      <w:numFmt w:val="bullet"/>
      <w:lvlText w:val="»"/>
      <w:lvlJc w:val="left"/>
      <w:pPr>
        <w:ind w:left="216" w:hanging="216"/>
      </w:pPr>
      <w:rPr>
        <w:rFonts w:ascii="Arial" w:hAnsi="Aria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9076648"/>
    <w:multiLevelType w:val="multilevel"/>
    <w:tmpl w:val="33580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C16251"/>
    <w:multiLevelType w:val="hybridMultilevel"/>
    <w:tmpl w:val="E23239E8"/>
    <w:lvl w:ilvl="0" w:tplc="51C2F5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865E2"/>
    <w:multiLevelType w:val="multilevel"/>
    <w:tmpl w:val="D332C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B7712"/>
    <w:multiLevelType w:val="hybridMultilevel"/>
    <w:tmpl w:val="6F3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61912"/>
    <w:multiLevelType w:val="hybridMultilevel"/>
    <w:tmpl w:val="F47C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E5"/>
    <w:rsid w:val="0000471E"/>
    <w:rsid w:val="00076776"/>
    <w:rsid w:val="00091282"/>
    <w:rsid w:val="0012458F"/>
    <w:rsid w:val="00151B10"/>
    <w:rsid w:val="00152F5C"/>
    <w:rsid w:val="00162429"/>
    <w:rsid w:val="0018290F"/>
    <w:rsid w:val="001C4990"/>
    <w:rsid w:val="001E776C"/>
    <w:rsid w:val="002432CF"/>
    <w:rsid w:val="00276307"/>
    <w:rsid w:val="002B7C10"/>
    <w:rsid w:val="002E0C35"/>
    <w:rsid w:val="002E28ED"/>
    <w:rsid w:val="002F4E8E"/>
    <w:rsid w:val="00301399"/>
    <w:rsid w:val="003162FC"/>
    <w:rsid w:val="0033464E"/>
    <w:rsid w:val="00376F0C"/>
    <w:rsid w:val="00380F6A"/>
    <w:rsid w:val="003D2C18"/>
    <w:rsid w:val="003F63E7"/>
    <w:rsid w:val="00402C65"/>
    <w:rsid w:val="00416171"/>
    <w:rsid w:val="00416547"/>
    <w:rsid w:val="004861E5"/>
    <w:rsid w:val="00487C66"/>
    <w:rsid w:val="004C1B58"/>
    <w:rsid w:val="004D7426"/>
    <w:rsid w:val="004E5D85"/>
    <w:rsid w:val="005309C4"/>
    <w:rsid w:val="005447BE"/>
    <w:rsid w:val="00590A92"/>
    <w:rsid w:val="0059180B"/>
    <w:rsid w:val="005B0BC5"/>
    <w:rsid w:val="005E5770"/>
    <w:rsid w:val="00612286"/>
    <w:rsid w:val="0062097F"/>
    <w:rsid w:val="00631EDC"/>
    <w:rsid w:val="006449A6"/>
    <w:rsid w:val="0065388C"/>
    <w:rsid w:val="0066085F"/>
    <w:rsid w:val="00667147"/>
    <w:rsid w:val="00673B31"/>
    <w:rsid w:val="006B0411"/>
    <w:rsid w:val="006D037B"/>
    <w:rsid w:val="006E688E"/>
    <w:rsid w:val="00716EBB"/>
    <w:rsid w:val="00755F11"/>
    <w:rsid w:val="00772124"/>
    <w:rsid w:val="007D0CFF"/>
    <w:rsid w:val="007E5507"/>
    <w:rsid w:val="007F4F19"/>
    <w:rsid w:val="00860031"/>
    <w:rsid w:val="00892E1B"/>
    <w:rsid w:val="008A7B19"/>
    <w:rsid w:val="00922A93"/>
    <w:rsid w:val="009B4376"/>
    <w:rsid w:val="009C379B"/>
    <w:rsid w:val="009C5AFD"/>
    <w:rsid w:val="009D4E68"/>
    <w:rsid w:val="009F53D6"/>
    <w:rsid w:val="00A049E3"/>
    <w:rsid w:val="00A43EB6"/>
    <w:rsid w:val="00A4566E"/>
    <w:rsid w:val="00A96997"/>
    <w:rsid w:val="00AA22DD"/>
    <w:rsid w:val="00AB411C"/>
    <w:rsid w:val="00B416A5"/>
    <w:rsid w:val="00B84B85"/>
    <w:rsid w:val="00C12965"/>
    <w:rsid w:val="00C36D4B"/>
    <w:rsid w:val="00C435A0"/>
    <w:rsid w:val="00C96B7B"/>
    <w:rsid w:val="00CB3269"/>
    <w:rsid w:val="00CE4070"/>
    <w:rsid w:val="00D564A0"/>
    <w:rsid w:val="00D76F2C"/>
    <w:rsid w:val="00D933B1"/>
    <w:rsid w:val="00DC108A"/>
    <w:rsid w:val="00DF2F3B"/>
    <w:rsid w:val="00E013AF"/>
    <w:rsid w:val="00E03973"/>
    <w:rsid w:val="00E210DA"/>
    <w:rsid w:val="00E35B5D"/>
    <w:rsid w:val="00E447B1"/>
    <w:rsid w:val="00E54D34"/>
    <w:rsid w:val="00E56A66"/>
    <w:rsid w:val="00E96619"/>
    <w:rsid w:val="00EA0FEE"/>
    <w:rsid w:val="00EE28E2"/>
    <w:rsid w:val="00F1170D"/>
    <w:rsid w:val="00F17586"/>
    <w:rsid w:val="00F94660"/>
    <w:rsid w:val="00FC112C"/>
    <w:rsid w:val="00FE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FDC7"/>
  <w15:docId w15:val="{369DB74F-6C79-4AB6-902D-E5160880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6997"/>
    <w:pPr>
      <w:spacing w:after="120" w:line="276" w:lineRule="auto"/>
      <w:contextualSpacing/>
      <w:outlineLvl w:val="0"/>
    </w:pPr>
    <w:rPr>
      <w:rFonts w:ascii="Times New Roman" w:hAnsi="Times New Roman" w:cs="Times New Roman"/>
      <w:b/>
    </w:rPr>
  </w:style>
  <w:style w:type="paragraph" w:styleId="Heading2">
    <w:name w:val="heading 2"/>
    <w:basedOn w:val="Normal"/>
    <w:link w:val="Heading2Char"/>
    <w:uiPriority w:val="9"/>
    <w:qFormat/>
    <w:rsid w:val="00EE2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63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6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63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C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7C66"/>
    <w:rPr>
      <w:i/>
      <w:iCs/>
    </w:rPr>
  </w:style>
  <w:style w:type="character" w:styleId="Hyperlink">
    <w:name w:val="Hyperlink"/>
    <w:basedOn w:val="DefaultParagraphFont"/>
    <w:uiPriority w:val="99"/>
    <w:unhideWhenUsed/>
    <w:rsid w:val="00487C66"/>
    <w:rPr>
      <w:color w:val="0000FF"/>
      <w:u w:val="single"/>
    </w:rPr>
  </w:style>
  <w:style w:type="table" w:styleId="TableGrid">
    <w:name w:val="Table Grid"/>
    <w:basedOn w:val="TableNormal"/>
    <w:uiPriority w:val="39"/>
    <w:rsid w:val="003D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80F6A"/>
    <w:rPr>
      <w:rFonts w:ascii="Calibri" w:eastAsia="Calibri" w:hAnsi="Calibri" w:cs="Calibri"/>
      <w:color w:val="000000"/>
      <w:szCs w:val="20"/>
    </w:rPr>
  </w:style>
  <w:style w:type="paragraph" w:styleId="ListParagraph">
    <w:name w:val="List Paragraph"/>
    <w:basedOn w:val="Normal"/>
    <w:uiPriority w:val="34"/>
    <w:qFormat/>
    <w:rsid w:val="00380F6A"/>
    <w:pPr>
      <w:spacing w:after="0" w:line="240" w:lineRule="auto"/>
      <w:ind w:left="720"/>
      <w:contextualSpacing/>
    </w:pPr>
    <w:rPr>
      <w:rFonts w:eastAsiaTheme="minorEastAsia"/>
      <w:sz w:val="24"/>
      <w:szCs w:val="24"/>
    </w:rPr>
  </w:style>
  <w:style w:type="table" w:styleId="LightShading">
    <w:name w:val="Light Shading"/>
    <w:basedOn w:val="TableNormal"/>
    <w:uiPriority w:val="60"/>
    <w:rsid w:val="00380F6A"/>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380F6A"/>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80F6A"/>
    <w:rPr>
      <w:rFonts w:eastAsiaTheme="minorEastAsia"/>
      <w:sz w:val="24"/>
      <w:szCs w:val="24"/>
    </w:rPr>
  </w:style>
  <w:style w:type="paragraph" w:styleId="Header">
    <w:name w:val="header"/>
    <w:basedOn w:val="Normal"/>
    <w:link w:val="HeaderChar"/>
    <w:uiPriority w:val="99"/>
    <w:unhideWhenUsed/>
    <w:rsid w:val="00380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6A"/>
  </w:style>
  <w:style w:type="paragraph" w:customStyle="1" w:styleId="Default">
    <w:name w:val="Default"/>
    <w:rsid w:val="009D4E6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68"/>
    <w:rPr>
      <w:rFonts w:ascii="Tahoma" w:hAnsi="Tahoma" w:cs="Tahoma"/>
      <w:sz w:val="16"/>
      <w:szCs w:val="16"/>
    </w:rPr>
  </w:style>
  <w:style w:type="character" w:styleId="CommentReference">
    <w:name w:val="annotation reference"/>
    <w:basedOn w:val="DefaultParagraphFont"/>
    <w:uiPriority w:val="99"/>
    <w:semiHidden/>
    <w:unhideWhenUsed/>
    <w:rsid w:val="009D4E68"/>
    <w:rPr>
      <w:sz w:val="16"/>
      <w:szCs w:val="16"/>
    </w:rPr>
  </w:style>
  <w:style w:type="paragraph" w:styleId="CommentText">
    <w:name w:val="annotation text"/>
    <w:basedOn w:val="Normal"/>
    <w:link w:val="CommentTextChar"/>
    <w:uiPriority w:val="99"/>
    <w:semiHidden/>
    <w:unhideWhenUsed/>
    <w:rsid w:val="009D4E68"/>
    <w:pPr>
      <w:spacing w:line="240" w:lineRule="auto"/>
    </w:pPr>
    <w:rPr>
      <w:sz w:val="20"/>
      <w:szCs w:val="20"/>
    </w:rPr>
  </w:style>
  <w:style w:type="character" w:customStyle="1" w:styleId="CommentTextChar">
    <w:name w:val="Comment Text Char"/>
    <w:basedOn w:val="DefaultParagraphFont"/>
    <w:link w:val="CommentText"/>
    <w:uiPriority w:val="99"/>
    <w:semiHidden/>
    <w:rsid w:val="009D4E68"/>
    <w:rPr>
      <w:sz w:val="20"/>
      <w:szCs w:val="20"/>
    </w:rPr>
  </w:style>
  <w:style w:type="paragraph" w:styleId="CommentSubject">
    <w:name w:val="annotation subject"/>
    <w:basedOn w:val="CommentText"/>
    <w:next w:val="CommentText"/>
    <w:link w:val="CommentSubjectChar"/>
    <w:uiPriority w:val="99"/>
    <w:semiHidden/>
    <w:unhideWhenUsed/>
    <w:rsid w:val="009D4E68"/>
    <w:rPr>
      <w:b/>
      <w:bCs/>
    </w:rPr>
  </w:style>
  <w:style w:type="character" w:customStyle="1" w:styleId="CommentSubjectChar">
    <w:name w:val="Comment Subject Char"/>
    <w:basedOn w:val="CommentTextChar"/>
    <w:link w:val="CommentSubject"/>
    <w:uiPriority w:val="99"/>
    <w:semiHidden/>
    <w:rsid w:val="009D4E68"/>
    <w:rPr>
      <w:b/>
      <w:bCs/>
      <w:sz w:val="20"/>
      <w:szCs w:val="20"/>
    </w:rPr>
  </w:style>
  <w:style w:type="character" w:customStyle="1" w:styleId="Heading2Char">
    <w:name w:val="Heading 2 Char"/>
    <w:basedOn w:val="DefaultParagraphFont"/>
    <w:link w:val="Heading2"/>
    <w:uiPriority w:val="9"/>
    <w:rsid w:val="00EE28E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12965"/>
    <w:rPr>
      <w:color w:val="954F72" w:themeColor="followedHyperlink"/>
      <w:u w:val="single"/>
    </w:rPr>
  </w:style>
  <w:style w:type="paragraph" w:styleId="Title">
    <w:name w:val="Title"/>
    <w:basedOn w:val="Normal"/>
    <w:next w:val="Normal"/>
    <w:link w:val="TitleChar"/>
    <w:uiPriority w:val="10"/>
    <w:qFormat/>
    <w:rsid w:val="00A96997"/>
    <w:pPr>
      <w:spacing w:after="0" w:line="240" w:lineRule="auto"/>
      <w:jc w:val="center"/>
    </w:pPr>
    <w:rPr>
      <w:rFonts w:ascii="Times New Roman" w:hAnsi="Times New Roman" w:cs="Times New Roman"/>
      <w:b/>
      <w:sz w:val="44"/>
      <w:szCs w:val="44"/>
    </w:rPr>
  </w:style>
  <w:style w:type="character" w:customStyle="1" w:styleId="TitleChar">
    <w:name w:val="Title Char"/>
    <w:basedOn w:val="DefaultParagraphFont"/>
    <w:link w:val="Title"/>
    <w:uiPriority w:val="10"/>
    <w:rsid w:val="00A96997"/>
    <w:rPr>
      <w:rFonts w:ascii="Times New Roman" w:hAnsi="Times New Roman" w:cs="Times New Roman"/>
      <w:b/>
      <w:sz w:val="44"/>
      <w:szCs w:val="44"/>
    </w:rPr>
  </w:style>
  <w:style w:type="character" w:customStyle="1" w:styleId="Heading1Char">
    <w:name w:val="Heading 1 Char"/>
    <w:basedOn w:val="DefaultParagraphFont"/>
    <w:link w:val="Heading1"/>
    <w:uiPriority w:val="9"/>
    <w:rsid w:val="00A96997"/>
    <w:rPr>
      <w:rFonts w:ascii="Times New Roman" w:hAnsi="Times New Roman" w:cs="Times New Roman"/>
      <w:b/>
    </w:rPr>
  </w:style>
  <w:style w:type="paragraph" w:styleId="TOCHeading">
    <w:name w:val="TOC Heading"/>
    <w:basedOn w:val="Heading1"/>
    <w:next w:val="Normal"/>
    <w:uiPriority w:val="39"/>
    <w:unhideWhenUsed/>
    <w:qFormat/>
    <w:rsid w:val="005B0BC5"/>
    <w:pPr>
      <w:keepNext/>
      <w:keepLines/>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B0BC5"/>
    <w:pPr>
      <w:spacing w:after="100"/>
    </w:pPr>
  </w:style>
  <w:style w:type="character" w:customStyle="1" w:styleId="Heading3Char">
    <w:name w:val="Heading 3 Char"/>
    <w:basedOn w:val="DefaultParagraphFont"/>
    <w:link w:val="Heading3"/>
    <w:uiPriority w:val="9"/>
    <w:rsid w:val="003F63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6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63E7"/>
    <w:rPr>
      <w:rFonts w:asciiTheme="majorHAnsi" w:eastAsiaTheme="majorEastAsia" w:hAnsiTheme="majorHAnsi" w:cstheme="majorBidi"/>
      <w:color w:val="2E74B5" w:themeColor="accent1" w:themeShade="BF"/>
    </w:rPr>
  </w:style>
  <w:style w:type="paragraph" w:styleId="Revision">
    <w:name w:val="Revision"/>
    <w:hidden/>
    <w:uiPriority w:val="99"/>
    <w:semiHidden/>
    <w:rsid w:val="00EA0FEE"/>
    <w:pPr>
      <w:spacing w:after="0" w:line="240" w:lineRule="auto"/>
    </w:pPr>
  </w:style>
  <w:style w:type="paragraph" w:styleId="NoSpacing">
    <w:name w:val="No Spacing"/>
    <w:uiPriority w:val="1"/>
    <w:qFormat/>
    <w:rsid w:val="008A7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52628">
      <w:bodyDiv w:val="1"/>
      <w:marLeft w:val="0"/>
      <w:marRight w:val="0"/>
      <w:marTop w:val="0"/>
      <w:marBottom w:val="0"/>
      <w:divBdr>
        <w:top w:val="none" w:sz="0" w:space="0" w:color="auto"/>
        <w:left w:val="none" w:sz="0" w:space="0" w:color="auto"/>
        <w:bottom w:val="none" w:sz="0" w:space="0" w:color="auto"/>
        <w:right w:val="none" w:sz="0" w:space="0" w:color="auto"/>
      </w:divBdr>
    </w:div>
    <w:div w:id="13140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tendanceworks.org/wp-content/uploads/2017/10/Future-Ed-TABLE_Chronic_Absenteeism.pdf" TargetMode="External"/><Relationship Id="rId13" Type="http://schemas.openxmlformats.org/officeDocument/2006/relationships/hyperlink" Target="https://www.attendanceworks.org/chronic-absence/the-problem/" TargetMode="External"/><Relationship Id="rId18" Type="http://schemas.openxmlformats.org/officeDocument/2006/relationships/hyperlink" Target="http://www.doe.virginia.gov/support/prevention/attendance-truancy/index.shtml" TargetMode="External"/><Relationship Id="rId3" Type="http://schemas.openxmlformats.org/officeDocument/2006/relationships/settings" Target="settings.xml"/><Relationship Id="rId21" Type="http://schemas.openxmlformats.org/officeDocument/2006/relationships/hyperlink" Target="https://www.attendanceworks.org/chronic-absence/addressing-chronic-absence/3-tiers-of-intervention/" TargetMode="External"/><Relationship Id="rId7" Type="http://schemas.openxmlformats.org/officeDocument/2006/relationships/hyperlink" Target="http://www.doe.virginia.gov/boe/accreditation/" TargetMode="External"/><Relationship Id="rId12" Type="http://schemas.openxmlformats.org/officeDocument/2006/relationships/hyperlink" Target="https://awareness.attendanceworks.org/wp-content/uploads/Research2016.pdf" TargetMode="External"/><Relationship Id="rId17" Type="http://schemas.openxmlformats.org/officeDocument/2006/relationships/hyperlink" Target="https://law.lis.virginia.gov/vacode/title22.1/chapter14/section22.1-254.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virginia.gov/families/private_home/index.shtml" TargetMode="External"/><Relationship Id="rId20" Type="http://schemas.openxmlformats.org/officeDocument/2006/relationships/hyperlink" Target="https://www.attendanceworks.org/chronic-absence/addressing-chronic-absence/3-tiers-of-interven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boe/accreditation/2017-soa-impact.shtm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attendanceworks.org/whats-the-difference-between-chronic-absence-and-truancy/" TargetMode="External"/><Relationship Id="rId23" Type="http://schemas.openxmlformats.org/officeDocument/2006/relationships/fontTable" Target="fontTable.xml"/><Relationship Id="rId10" Type="http://schemas.openxmlformats.org/officeDocument/2006/relationships/hyperlink" Target="http://www.doe.virginia.gov/boe/accreditation/soa-impact.pdf" TargetMode="External"/><Relationship Id="rId19" Type="http://schemas.openxmlformats.org/officeDocument/2006/relationships/hyperlink" Target="http://www.doe.virginia.gov/support/prevention/attendance-truancy/attendance-truancy-va-students/index.shtml" TargetMode="External"/><Relationship Id="rId4" Type="http://schemas.openxmlformats.org/officeDocument/2006/relationships/webSettings" Target="webSettings.xml"/><Relationship Id="rId9" Type="http://schemas.openxmlformats.org/officeDocument/2006/relationships/hyperlink" Target="http://www.doe.virginia.gov/boe/accreditation/2017-soa-impact.shtml" TargetMode="External"/><Relationship Id="rId14" Type="http://schemas.openxmlformats.org/officeDocument/2006/relationships/hyperlink" Target="https://law.lis.virginia.gov/admincode/title8/agency20/chapter730/section1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A6"/>
    <w:rsid w:val="00A461A6"/>
    <w:rsid w:val="00E8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F7F2C8C4A480A894680F3B362DA49">
    <w:name w:val="1FAF7F2C8C4A480A894680F3B362DA49"/>
    <w:rsid w:val="00A46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Chronic Absenteeism Frequently Asked Questions</vt:lpstr>
    </vt:vector>
  </TitlesOfParts>
  <Company>Virginia IT Infrastructure Partnership</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Absenteeism Frequently Asked Questions</dc:title>
  <dc:creator>Gregory, Michael (DOE)</dc:creator>
  <cp:lastModifiedBy>Wharff, Joseph (DOE)</cp:lastModifiedBy>
  <cp:revision>3</cp:revision>
  <cp:lastPrinted>2019-07-02T17:36:00Z</cp:lastPrinted>
  <dcterms:created xsi:type="dcterms:W3CDTF">2020-01-16T16:38:00Z</dcterms:created>
  <dcterms:modified xsi:type="dcterms:W3CDTF">2020-01-16T16:54:00Z</dcterms:modified>
</cp:coreProperties>
</file>