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E" w:rsidRPr="0028223E" w:rsidRDefault="0013023E" w:rsidP="0013023E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8223E">
        <w:rPr>
          <w:rFonts w:ascii="Times New Roman" w:hAnsi="Times New Roman" w:cs="Times New Roman"/>
          <w:b/>
          <w:bCs/>
          <w:sz w:val="32"/>
          <w:szCs w:val="36"/>
        </w:rPr>
        <w:t>Virginia Algebra Readiness Initiative</w:t>
      </w:r>
    </w:p>
    <w:p w:rsidR="0013023E" w:rsidRPr="0028223E" w:rsidRDefault="0013023E" w:rsidP="0013023E">
      <w:pPr>
        <w:pStyle w:val="Heading8"/>
        <w:rPr>
          <w:rFonts w:ascii="Times New Roman" w:hAnsi="Times New Roman"/>
          <w:sz w:val="32"/>
          <w:szCs w:val="36"/>
        </w:rPr>
      </w:pPr>
      <w:r w:rsidRPr="0028223E">
        <w:rPr>
          <w:rFonts w:ascii="Times New Roman" w:hAnsi="Times New Roman"/>
          <w:sz w:val="32"/>
          <w:szCs w:val="36"/>
        </w:rPr>
        <w:t>2017-2018 School Year</w:t>
      </w:r>
    </w:p>
    <w:p w:rsidR="0013023E" w:rsidRPr="0028223E" w:rsidRDefault="0013023E" w:rsidP="0013023E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8223E">
        <w:rPr>
          <w:rFonts w:ascii="Times New Roman" w:hAnsi="Times New Roman" w:cs="Times New Roman"/>
          <w:b/>
          <w:sz w:val="32"/>
          <w:szCs w:val="36"/>
        </w:rPr>
        <w:t>Annual Report</w:t>
      </w:r>
    </w:p>
    <w:p w:rsidR="0013023E" w:rsidRPr="00872CDA" w:rsidRDefault="0013023E" w:rsidP="0013023E">
      <w:pPr>
        <w:tabs>
          <w:tab w:val="left" w:pos="4320"/>
        </w:tabs>
        <w:ind w:hanging="1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2CDA">
        <w:rPr>
          <w:rFonts w:ascii="Times New Roman" w:hAnsi="Times New Roman" w:cs="Times New Roman"/>
          <w:b/>
          <w:sz w:val="24"/>
        </w:rPr>
        <w:t>Contact information:</w:t>
      </w:r>
      <w:bookmarkStart w:id="0" w:name="_GoBack"/>
      <w:bookmarkEnd w:id="0"/>
    </w:p>
    <w:tbl>
      <w:tblPr>
        <w:tblpPr w:leftFromText="180" w:rightFromText="180" w:vertAnchor="text" w:horzAnchor="margin" w:tblpY="19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7182"/>
      </w:tblGrid>
      <w:tr w:rsidR="0013023E" w:rsidRPr="00D11A94" w:rsidTr="00F4422F">
        <w:tc>
          <w:tcPr>
            <w:tcW w:w="2682" w:type="dxa"/>
          </w:tcPr>
          <w:p w:rsidR="0013023E" w:rsidRPr="00D11A94" w:rsidRDefault="0013023E" w:rsidP="00F4422F">
            <w:pPr>
              <w:pStyle w:val="Heading2"/>
              <w:rPr>
                <w:rFonts w:ascii="Times New Roman" w:hAnsi="Times New Roman"/>
                <w:sz w:val="24"/>
              </w:rPr>
            </w:pPr>
            <w:r w:rsidRPr="00D11A94">
              <w:rPr>
                <w:rFonts w:ascii="Times New Roman" w:hAnsi="Times New Roman"/>
                <w:sz w:val="24"/>
              </w:rPr>
              <w:t>Division Name:</w:t>
            </w:r>
          </w:p>
        </w:tc>
        <w:tc>
          <w:tcPr>
            <w:tcW w:w="7182" w:type="dxa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3023E" w:rsidRPr="00D11A94" w:rsidTr="00F4422F">
        <w:tc>
          <w:tcPr>
            <w:tcW w:w="2682" w:type="dxa"/>
          </w:tcPr>
          <w:p w:rsidR="0013023E" w:rsidRPr="00D11A94" w:rsidRDefault="0013023E" w:rsidP="00F4422F">
            <w:pPr>
              <w:pStyle w:val="Heading3"/>
              <w:rPr>
                <w:rFonts w:ascii="Times New Roman" w:hAnsi="Times New Roman"/>
                <w:b/>
              </w:rPr>
            </w:pPr>
            <w:r w:rsidRPr="00D11A94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7182" w:type="dxa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3023E" w:rsidRPr="00D11A94" w:rsidTr="00F4422F">
        <w:tc>
          <w:tcPr>
            <w:tcW w:w="2682" w:type="dxa"/>
          </w:tcPr>
          <w:p w:rsidR="0013023E" w:rsidRPr="00D11A94" w:rsidRDefault="0013023E" w:rsidP="00F4422F">
            <w:pPr>
              <w:pStyle w:val="Heading5"/>
              <w:jc w:val="left"/>
              <w:rPr>
                <w:rFonts w:ascii="Times New Roman" w:hAnsi="Times New Roman"/>
                <w:b/>
              </w:rPr>
            </w:pPr>
            <w:r w:rsidRPr="00D11A94">
              <w:rPr>
                <w:rFonts w:ascii="Times New Roman" w:hAnsi="Times New Roman"/>
                <w:b/>
              </w:rPr>
              <w:t>Division Contact Name:</w:t>
            </w:r>
          </w:p>
        </w:tc>
        <w:tc>
          <w:tcPr>
            <w:tcW w:w="7182" w:type="dxa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3023E" w:rsidRPr="00D11A94" w:rsidTr="00F4422F">
        <w:tc>
          <w:tcPr>
            <w:tcW w:w="2682" w:type="dxa"/>
            <w:tcBorders>
              <w:bottom w:val="single" w:sz="4" w:space="0" w:color="auto"/>
            </w:tcBorders>
          </w:tcPr>
          <w:p w:rsidR="0013023E" w:rsidRPr="00D11A94" w:rsidRDefault="0013023E" w:rsidP="00F4422F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D11A94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3023E" w:rsidRPr="00872CDA" w:rsidRDefault="0013023E" w:rsidP="0013023E">
      <w:pPr>
        <w:tabs>
          <w:tab w:val="left" w:pos="4320"/>
        </w:tabs>
        <w:spacing w:before="120" w:after="120"/>
        <w:ind w:hanging="187"/>
        <w:rPr>
          <w:rFonts w:ascii="Times New Roman" w:hAnsi="Times New Roman" w:cs="Times New Roman"/>
          <w:b/>
          <w:sz w:val="24"/>
        </w:rPr>
      </w:pPr>
      <w:r w:rsidRPr="00872CDA">
        <w:rPr>
          <w:rFonts w:ascii="Times New Roman" w:hAnsi="Times New Roman" w:cs="Times New Roman"/>
          <w:b/>
          <w:sz w:val="24"/>
        </w:rPr>
        <w:t>Division Diagnostic Pre-Test Information:</w:t>
      </w:r>
    </w:p>
    <w:tbl>
      <w:tblPr>
        <w:tblpPr w:leftFromText="180" w:rightFromText="180" w:vertAnchor="text" w:horzAnchor="margin" w:tblpX="-72" w:tblpY="7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528"/>
      </w:tblGrid>
      <w:tr w:rsidR="0013023E" w:rsidRPr="00D11A94" w:rsidTr="00F4422F">
        <w:tc>
          <w:tcPr>
            <w:tcW w:w="6390" w:type="dxa"/>
          </w:tcPr>
          <w:p w:rsidR="0013023E" w:rsidRPr="00D11A94" w:rsidRDefault="0013023E" w:rsidP="00F4422F">
            <w:pPr>
              <w:pStyle w:val="Heading2"/>
              <w:rPr>
                <w:rFonts w:ascii="Times New Roman" w:hAnsi="Times New Roman"/>
                <w:sz w:val="24"/>
              </w:rPr>
            </w:pPr>
            <w:r w:rsidRPr="00D11A94">
              <w:rPr>
                <w:rFonts w:ascii="Times New Roman" w:hAnsi="Times New Roman"/>
                <w:sz w:val="24"/>
              </w:rPr>
              <w:t>Algebra Readiness Diagnostic Test (ARDT) Used as Pre-Test:</w:t>
            </w:r>
          </w:p>
        </w:tc>
        <w:tc>
          <w:tcPr>
            <w:tcW w:w="3528" w:type="dxa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  <w:r w:rsidRPr="00D11A94">
              <w:rPr>
                <w:rFonts w:ascii="Times New Roman" w:hAnsi="Times New Roman" w:cs="Times New Roman"/>
              </w:rPr>
              <w:t xml:space="preserve"> YES  </w:t>
            </w: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  <w:r w:rsidRPr="00D11A94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13023E" w:rsidRPr="00D11A94" w:rsidTr="00F4422F">
        <w:tc>
          <w:tcPr>
            <w:tcW w:w="6390" w:type="dxa"/>
          </w:tcPr>
          <w:p w:rsidR="0013023E" w:rsidRPr="00D11A94" w:rsidRDefault="0013023E" w:rsidP="00F4422F">
            <w:pPr>
              <w:pStyle w:val="Heading3"/>
              <w:rPr>
                <w:rFonts w:ascii="Times New Roman" w:hAnsi="Times New Roman"/>
                <w:b/>
              </w:rPr>
            </w:pPr>
            <w:r w:rsidRPr="00D11A94">
              <w:rPr>
                <w:rFonts w:ascii="Times New Roman" w:hAnsi="Times New Roman"/>
                <w:b/>
              </w:rPr>
              <w:t>If NO checked above, describe the method of diagnostic testing used as a pre-test* for ARI students served.</w:t>
            </w:r>
          </w:p>
        </w:tc>
        <w:tc>
          <w:tcPr>
            <w:tcW w:w="3528" w:type="dxa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3023E" w:rsidRPr="00872CDA" w:rsidRDefault="0013023E" w:rsidP="0013023E">
      <w:pPr>
        <w:ind w:left="-180" w:right="-180" w:firstLine="0"/>
        <w:rPr>
          <w:rFonts w:ascii="Times New Roman" w:hAnsi="Times New Roman" w:cs="Times New Roman"/>
          <w:sz w:val="20"/>
        </w:rPr>
      </w:pPr>
      <w:r w:rsidRPr="00B06D20">
        <w:rPr>
          <w:rFonts w:ascii="Times New Roman" w:hAnsi="Times New Roman" w:cs="Times New Roman"/>
          <w:sz w:val="20"/>
        </w:rPr>
        <w:t>*</w:t>
      </w:r>
      <w:r w:rsidRPr="00B06D20">
        <w:rPr>
          <w:rFonts w:ascii="Times New Roman" w:hAnsi="Times New Roman" w:cs="Times New Roman"/>
          <w:sz w:val="20"/>
          <w:lang w:val="en"/>
        </w:rPr>
        <w:t>Division may opt to use the ARDT or individual student data generated by other locally-developed or selected pre-tests.</w:t>
      </w:r>
    </w:p>
    <w:p w:rsidR="0013023E" w:rsidRPr="00872CDA" w:rsidRDefault="0013023E" w:rsidP="0013023E">
      <w:pPr>
        <w:tabs>
          <w:tab w:val="left" w:pos="4320"/>
        </w:tabs>
        <w:spacing w:before="120"/>
        <w:ind w:hanging="180"/>
        <w:rPr>
          <w:rFonts w:ascii="Times New Roman" w:hAnsi="Times New Roman" w:cs="Times New Roman"/>
          <w:b/>
          <w:sz w:val="24"/>
        </w:rPr>
      </w:pPr>
      <w:r w:rsidRPr="00872CDA">
        <w:rPr>
          <w:rFonts w:ascii="Times New Roman" w:hAnsi="Times New Roman" w:cs="Times New Roman"/>
          <w:b/>
          <w:sz w:val="24"/>
        </w:rPr>
        <w:t>Division Diagnostic Post-Test Information:</w:t>
      </w:r>
    </w:p>
    <w:tbl>
      <w:tblPr>
        <w:tblpPr w:leftFromText="180" w:rightFromText="180" w:vertAnchor="text" w:horzAnchor="margin" w:tblpX="-72" w:tblpY="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528"/>
      </w:tblGrid>
      <w:tr w:rsidR="0013023E" w:rsidRPr="00D11A94" w:rsidTr="00F4422F">
        <w:tc>
          <w:tcPr>
            <w:tcW w:w="6390" w:type="dxa"/>
          </w:tcPr>
          <w:p w:rsidR="0013023E" w:rsidRPr="00D11A94" w:rsidRDefault="0013023E" w:rsidP="00F4422F">
            <w:pPr>
              <w:pStyle w:val="Heading5"/>
              <w:jc w:val="left"/>
              <w:rPr>
                <w:rFonts w:ascii="Times New Roman" w:hAnsi="Times New Roman"/>
                <w:b/>
              </w:rPr>
            </w:pPr>
            <w:r w:rsidRPr="00D11A94">
              <w:rPr>
                <w:rFonts w:ascii="Times New Roman" w:hAnsi="Times New Roman"/>
                <w:b/>
              </w:rPr>
              <w:t>Describe the method of diagnostic testing used a post-test** for students ARI served.</w:t>
            </w:r>
          </w:p>
        </w:tc>
        <w:tc>
          <w:tcPr>
            <w:tcW w:w="3528" w:type="dxa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3023E" w:rsidRPr="00872CDA" w:rsidRDefault="0013023E" w:rsidP="0013023E">
      <w:pPr>
        <w:ind w:left="90" w:hanging="270"/>
        <w:rPr>
          <w:rFonts w:ascii="Times New Roman" w:hAnsi="Times New Roman" w:cs="Times New Roman"/>
          <w:sz w:val="20"/>
        </w:rPr>
      </w:pPr>
      <w:r w:rsidRPr="00B06D20">
        <w:rPr>
          <w:rFonts w:ascii="Times New Roman" w:hAnsi="Times New Roman" w:cs="Times New Roman"/>
          <w:sz w:val="20"/>
        </w:rPr>
        <w:t>**</w:t>
      </w:r>
      <w:r w:rsidRPr="00B06D20">
        <w:rPr>
          <w:rFonts w:ascii="Times New Roman" w:hAnsi="Times New Roman" w:cs="Times New Roman"/>
          <w:sz w:val="20"/>
          <w:lang w:val="en"/>
        </w:rPr>
        <w:t xml:space="preserve"> Division may opt to use the results of the 2017-2018 Virginia end-of-year Mathematics Standards of Learning assessment or individual student data generated by other locally-developed or selected post-tests.</w:t>
      </w:r>
    </w:p>
    <w:p w:rsidR="0013023E" w:rsidRPr="00D11A94" w:rsidRDefault="0013023E" w:rsidP="0013023E">
      <w:pPr>
        <w:tabs>
          <w:tab w:val="left" w:pos="4320"/>
        </w:tabs>
        <w:spacing w:before="120"/>
        <w:ind w:left="-180" w:firstLine="0"/>
        <w:rPr>
          <w:rFonts w:ascii="Times New Roman" w:hAnsi="Times New Roman" w:cs="Times New Roman"/>
        </w:rPr>
      </w:pPr>
      <w:r w:rsidRPr="00872CDA">
        <w:rPr>
          <w:rFonts w:ascii="Times New Roman" w:hAnsi="Times New Roman" w:cs="Times New Roman"/>
          <w:b/>
          <w:sz w:val="24"/>
        </w:rPr>
        <w:t>Students Served:</w:t>
      </w:r>
      <w:r>
        <w:rPr>
          <w:rFonts w:ascii="Times New Roman" w:hAnsi="Times New Roman" w:cs="Times New Roman"/>
          <w:sz w:val="24"/>
        </w:rPr>
        <w:t xml:space="preserve"> </w:t>
      </w:r>
      <w:r w:rsidRPr="00D11A94">
        <w:rPr>
          <w:rFonts w:ascii="Times New Roman" w:hAnsi="Times New Roman" w:cs="Times New Roman"/>
          <w:sz w:val="24"/>
        </w:rPr>
        <w:t>Enter the number of eligible students in each category who received intervention services. Use results of division post-testing to measure proficiency in grade level mathematics.</w:t>
      </w:r>
      <w:r w:rsidRPr="00D11A94">
        <w:rPr>
          <w:rFonts w:ascii="Times New Roman" w:hAnsi="Times New Roman" w:cs="Times New Roman"/>
        </w:rPr>
        <w:t xml:space="preserve"> </w:t>
      </w:r>
    </w:p>
    <w:tbl>
      <w:tblPr>
        <w:tblW w:w="5066" w:type="pct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26"/>
        <w:gridCol w:w="2425"/>
        <w:gridCol w:w="2426"/>
      </w:tblGrid>
      <w:tr w:rsidR="0013023E" w:rsidRPr="00D11A94" w:rsidTr="00F4422F">
        <w:trPr>
          <w:cantSplit/>
          <w:trHeight w:val="512"/>
          <w:jc w:val="center"/>
        </w:trPr>
        <w:tc>
          <w:tcPr>
            <w:tcW w:w="4851" w:type="dxa"/>
            <w:gridSpan w:val="2"/>
          </w:tcPr>
          <w:p w:rsidR="0013023E" w:rsidRPr="00D11A94" w:rsidRDefault="0013023E" w:rsidP="00F4422F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D11A94">
              <w:rPr>
                <w:rFonts w:ascii="Times New Roman" w:hAnsi="Times New Roman"/>
                <w:sz w:val="24"/>
                <w:szCs w:val="24"/>
              </w:rPr>
              <w:t>Number of Students Receiving Intervention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3023E" w:rsidRPr="00D11A94" w:rsidRDefault="0013023E" w:rsidP="00F4422F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D11A94">
              <w:rPr>
                <w:rFonts w:ascii="Times New Roman" w:hAnsi="Times New Roman"/>
                <w:sz w:val="24"/>
                <w:szCs w:val="24"/>
              </w:rPr>
              <w:t>Number of Students Demonstrating Improvement Based on Post-Testing</w:t>
            </w:r>
          </w:p>
        </w:tc>
      </w:tr>
      <w:tr w:rsidR="0013023E" w:rsidRPr="00D11A94" w:rsidTr="00F4422F">
        <w:trPr>
          <w:cantSplit/>
          <w:jc w:val="center"/>
        </w:trPr>
        <w:tc>
          <w:tcPr>
            <w:tcW w:w="2425" w:type="dxa"/>
          </w:tcPr>
          <w:p w:rsidR="0013023E" w:rsidRPr="00D11A94" w:rsidRDefault="0013023E" w:rsidP="00F4422F">
            <w:pPr>
              <w:pStyle w:val="Heading5"/>
              <w:jc w:val="right"/>
              <w:rPr>
                <w:rFonts w:ascii="Times New Roman" w:hAnsi="Times New Roman"/>
              </w:rPr>
            </w:pPr>
            <w:r w:rsidRPr="00D11A94">
              <w:rPr>
                <w:rFonts w:ascii="Times New Roman" w:hAnsi="Times New Roman"/>
              </w:rPr>
              <w:t>Grade 6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13023E" w:rsidRPr="00D11A94" w:rsidRDefault="0013023E" w:rsidP="00F4422F">
            <w:pPr>
              <w:pStyle w:val="Heading5"/>
              <w:jc w:val="right"/>
              <w:rPr>
                <w:rFonts w:ascii="Times New Roman" w:hAnsi="Times New Roman"/>
              </w:rPr>
            </w:pPr>
            <w:r w:rsidRPr="00D11A94">
              <w:rPr>
                <w:rFonts w:ascii="Times New Roman" w:hAnsi="Times New Roman"/>
              </w:rPr>
              <w:t>Grade 6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3023E" w:rsidRPr="00D11A94" w:rsidTr="00F4422F">
        <w:trPr>
          <w:cantSplit/>
          <w:jc w:val="center"/>
        </w:trPr>
        <w:tc>
          <w:tcPr>
            <w:tcW w:w="2425" w:type="dxa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Grade 7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Grade 7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3023E" w:rsidRPr="00D11A94" w:rsidTr="00F4422F">
        <w:trPr>
          <w:cantSplit/>
          <w:jc w:val="center"/>
        </w:trPr>
        <w:tc>
          <w:tcPr>
            <w:tcW w:w="2425" w:type="dxa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Grade 8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Grade 8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3023E" w:rsidRPr="00D11A94" w:rsidTr="00F4422F">
        <w:trPr>
          <w:cantSplit/>
          <w:trHeight w:val="278"/>
          <w:jc w:val="center"/>
        </w:trPr>
        <w:tc>
          <w:tcPr>
            <w:tcW w:w="2425" w:type="dxa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Grade 9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Grade 9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3023E" w:rsidRPr="00D11A94" w:rsidTr="00F4422F">
        <w:trPr>
          <w:cantSplit/>
          <w:trHeight w:val="278"/>
          <w:jc w:val="center"/>
        </w:trPr>
        <w:tc>
          <w:tcPr>
            <w:tcW w:w="2425" w:type="dxa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Above Grade 9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Above Grade 9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3023E" w:rsidRPr="00D11A94" w:rsidTr="00F4422F">
        <w:trPr>
          <w:cantSplit/>
          <w:trHeight w:val="278"/>
          <w:jc w:val="center"/>
        </w:trPr>
        <w:tc>
          <w:tcPr>
            <w:tcW w:w="2425" w:type="dxa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:rsidR="0013023E" w:rsidRPr="00D11A94" w:rsidRDefault="0013023E" w:rsidP="00F442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11A9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3023E" w:rsidRPr="00D11A94" w:rsidRDefault="0013023E" w:rsidP="0013023E">
      <w:pPr>
        <w:rPr>
          <w:rFonts w:ascii="Times New Roman" w:hAnsi="Times New Roman" w:cs="Times New Roman"/>
        </w:rPr>
      </w:pPr>
    </w:p>
    <w:tbl>
      <w:tblPr>
        <w:tblW w:w="5052" w:type="pct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13023E" w:rsidRPr="00D11A94" w:rsidTr="00F4422F">
        <w:trPr>
          <w:cantSplit/>
          <w:trHeight w:val="594"/>
          <w:jc w:val="center"/>
        </w:trPr>
        <w:tc>
          <w:tcPr>
            <w:tcW w:w="9676" w:type="dxa"/>
          </w:tcPr>
          <w:p w:rsidR="0013023E" w:rsidRPr="00D11A94" w:rsidRDefault="0013023E" w:rsidP="00F4422F">
            <w:pPr>
              <w:pStyle w:val="Heading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A94">
              <w:rPr>
                <w:rFonts w:ascii="Times New Roman" w:hAnsi="Times New Roman"/>
                <w:sz w:val="24"/>
                <w:szCs w:val="24"/>
              </w:rPr>
              <w:t xml:space="preserve">Briefly describe the type of intervention services that were provided to students (e.g. push-in model with small group instruction; small group pull-out; afterschool tutoring; etc.)  If more than one type was used, please specify each service provided. </w:t>
            </w:r>
          </w:p>
        </w:tc>
      </w:tr>
      <w:tr w:rsidR="0013023E" w:rsidRPr="00D11A94" w:rsidTr="00F4422F">
        <w:trPr>
          <w:cantSplit/>
          <w:trHeight w:val="279"/>
          <w:jc w:val="center"/>
        </w:trPr>
        <w:tc>
          <w:tcPr>
            <w:tcW w:w="9676" w:type="dxa"/>
            <w:shd w:val="clear" w:color="auto" w:fill="D9D9D9" w:themeFill="background1" w:themeFillShade="D9"/>
          </w:tcPr>
          <w:p w:rsidR="0013023E" w:rsidRPr="00D11A94" w:rsidRDefault="0013023E" w:rsidP="00F4422F">
            <w:pPr>
              <w:rPr>
                <w:rFonts w:ascii="Times New Roman" w:hAnsi="Times New Roman" w:cs="Times New Roman"/>
              </w:rPr>
            </w:pPr>
            <w:r w:rsidRPr="00D11A9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A94">
              <w:rPr>
                <w:rFonts w:ascii="Times New Roman" w:hAnsi="Times New Roman" w:cs="Times New Roman"/>
              </w:rPr>
              <w:instrText xml:space="preserve"> FORMTEXT </w:instrText>
            </w:r>
            <w:r w:rsidRPr="00D11A94">
              <w:rPr>
                <w:rFonts w:ascii="Times New Roman" w:hAnsi="Times New Roman" w:cs="Times New Roman"/>
              </w:rPr>
            </w:r>
            <w:r w:rsidRPr="00D11A94">
              <w:rPr>
                <w:rFonts w:ascii="Times New Roman" w:hAnsi="Times New Roman" w:cs="Times New Roman"/>
              </w:rPr>
              <w:fldChar w:fldCharType="separate"/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  <w:noProof/>
              </w:rPr>
              <w:t> </w:t>
            </w:r>
            <w:r w:rsidRPr="00D11A9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3023E" w:rsidRPr="009A6151" w:rsidRDefault="0013023E" w:rsidP="0013023E">
      <w:pPr>
        <w:tabs>
          <w:tab w:val="left" w:pos="18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A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0CD2B" wp14:editId="4DCBAD75">
                <wp:simplePos x="0" y="0"/>
                <wp:positionH relativeFrom="column">
                  <wp:posOffset>-7369</wp:posOffset>
                </wp:positionH>
                <wp:positionV relativeFrom="paragraph">
                  <wp:posOffset>420680</wp:posOffset>
                </wp:positionV>
                <wp:extent cx="5975498" cy="542260"/>
                <wp:effectExtent l="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23E" w:rsidRPr="00B06D20" w:rsidRDefault="0013023E" w:rsidP="0013023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06D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School divisions must submit this report electronically to </w:t>
                            </w:r>
                            <w:hyperlink r:id="rId7" w:history="1">
                              <w:r w:rsidRPr="0051725B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mathematics@doe.virginia.gov</w:t>
                              </w:r>
                            </w:hyperlink>
                            <w:r w:rsidRPr="00B06D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by </w:t>
                            </w:r>
                            <w:r w:rsidRPr="00B06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August 1,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pt;margin-top:33.1pt;width:470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tthAIAAA8FAAAOAAAAZHJzL2Uyb0RvYy54bWysVMlu2zAQvRfoPxC8O1pA2ZYQOUjsuiiQ&#10;LkDSD6ApyiJKkSpJW0qL/HuHlO2oy6EoqoPEZfj4Zt4bXd8MrURHbqzQqsTJVYwRV0xXQu1L/Plx&#10;O1tiZB1VFZVa8RI/cYtvVq9fXfddwVPdaFlxgwBE2aLvStw41xVRZFnDW2qvdMcVbNbatNTB1Oyj&#10;ytAe0FsZpXE8j3ptqs5oxq2F1c24iVcBv645cx/r2nKHZImBmwtvE947/45W17TYG9o1gp1o0H9g&#10;0VKh4NIL1IY6ig5G/AbVCma01bW7YrqNdF0LxkMOkE0S/5LNQ0M7HnKB4tjuUib7/2DZh+Mng0QF&#10;2mGkaAsSPfLBoTs9IOKr03e2gKCHDsLcAMs+0mdqu3vNvlik9Lqhas9vjdF9w2kF7BJ/MpocHXGs&#10;B9n173UF19CD0wFoqE3rAaEYCNBBpaeLMp4Kg8UsX2QkBy8x2MtIms6DdBEtzqc7Y91brlvkByU2&#10;oHxAp8d76zwbWpxDAnstRbUVUoaJ2e/W0qAjBZdswxMSgCSnYVL5YKX9sRFxXAGScIff83SD6t/z&#10;JCXxXZrPtvPlYka2JJvli3g5i5P8Lp/HJCeb7bMnmJCiEVXF1b1Q/OzAhPydwqdeGL0TPIj6EudZ&#10;mo0STdnbaZJxeP6UZCscNKQUbYmXlyBaeGHfqArSpoWjQo7j6Gf6ocpQg/M3VCXYwCs/esANuwFQ&#10;vDd2unoCQxgNeoHq8BeBQaPNN4x66MgS268HajhG8p0CU+UJIb6Fw4RkixQmZrqzm+5QxQCqxA6j&#10;cbh2Y9sfOiP2Ddw02ljpWzBiLYJHXlid7AtdF5I5/SF8W0/nIerlP7b6AQAA//8DAFBLAwQUAAYA&#10;CAAAACEAQRSFjt4AAAAJAQAADwAAAGRycy9kb3ducmV2LnhtbEyPwU7DMBBE70j8g7VIXFDrpFCX&#10;hDgVIIG4tvQDnHibRMTrKHab9O9ZTvS0Gs3T7EyxnV0vzjiGzpOGdJmAQKq97ajRcPj+WDyDCNGQ&#10;Nb0n1HDBANvy9qYwufUT7fC8j43gEAq50dDGOORShrpFZ8LSD0jsHf3oTGQ5NtKOZuJw18tVkijp&#10;TEf8oTUDvrdY/+xPTsPxa3pYZ1P1GQ+b3ZN6M92m8het7+/m1xcQEef4D8Nffa4OJXeq/IlsEL2G&#10;RbpiUoNSfNnPHjOeUjG4ThXIspDXC8pfAAAA//8DAFBLAQItABQABgAIAAAAIQC2gziS/gAAAOEB&#10;AAATAAAAAAAAAAAAAAAAAAAAAABbQ29udGVudF9UeXBlc10ueG1sUEsBAi0AFAAGAAgAAAAhADj9&#10;If/WAAAAlAEAAAsAAAAAAAAAAAAAAAAALwEAAF9yZWxzLy5yZWxzUEsBAi0AFAAGAAgAAAAhABCa&#10;222EAgAADwUAAA4AAAAAAAAAAAAAAAAALgIAAGRycy9lMm9Eb2MueG1sUEsBAi0AFAAGAAgAAAAh&#10;AEEUhY7eAAAACQEAAA8AAAAAAAAAAAAAAAAA3gQAAGRycy9kb3ducmV2LnhtbFBLBQYAAAAABAAE&#10;APMAAADpBQAAAAA=&#10;" stroked="f">
                <v:textbox>
                  <w:txbxContent>
                    <w:p w:rsidR="0013023E" w:rsidRPr="00B06D20" w:rsidRDefault="0013023E" w:rsidP="0013023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06D20">
                        <w:rPr>
                          <w:rFonts w:ascii="Times New Roman" w:hAnsi="Times New Roman" w:cs="Times New Roman"/>
                          <w:sz w:val="24"/>
                        </w:rPr>
                        <w:t xml:space="preserve">School divisions must submit this report electronically to </w:t>
                      </w:r>
                      <w:hyperlink r:id="rId8" w:history="1">
                        <w:r w:rsidRPr="0051725B">
                          <w:rPr>
                            <w:rStyle w:val="Hyperlink"/>
                            <w:rFonts w:ascii="Times New Roman" w:hAnsi="Times New Roman"/>
                          </w:rPr>
                          <w:t>mathematics@doe.virginia.gov</w:t>
                        </w:r>
                      </w:hyperlink>
                      <w:r w:rsidRPr="00B06D20">
                        <w:rPr>
                          <w:rFonts w:ascii="Times New Roman" w:hAnsi="Times New Roman" w:cs="Times New Roman"/>
                          <w:sz w:val="24"/>
                        </w:rPr>
                        <w:t xml:space="preserve"> by </w:t>
                      </w:r>
                      <w:r w:rsidRPr="00B06D2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August 1, 2018.</w:t>
                      </w:r>
                    </w:p>
                  </w:txbxContent>
                </v:textbox>
              </v:shape>
            </w:pict>
          </mc:Fallback>
        </mc:AlternateContent>
      </w:r>
    </w:p>
    <w:p w:rsidR="00D83585" w:rsidRDefault="00D83585"/>
    <w:sectPr w:rsidR="00D83585" w:rsidSect="00872CDA">
      <w:head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7F" w:rsidRDefault="004E7B7F" w:rsidP="004E7B7F">
      <w:r>
        <w:separator/>
      </w:r>
    </w:p>
  </w:endnote>
  <w:endnote w:type="continuationSeparator" w:id="0">
    <w:p w:rsidR="004E7B7F" w:rsidRDefault="004E7B7F" w:rsidP="004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7F" w:rsidRDefault="004E7B7F" w:rsidP="004E7B7F">
      <w:r>
        <w:separator/>
      </w:r>
    </w:p>
  </w:footnote>
  <w:footnote w:type="continuationSeparator" w:id="0">
    <w:p w:rsidR="004E7B7F" w:rsidRDefault="004E7B7F" w:rsidP="004E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C6" w:rsidRPr="004E7B7F" w:rsidRDefault="004E7B7F" w:rsidP="004E7B7F">
    <w:pPr>
      <w:pStyle w:val="Header"/>
      <w:jc w:val="right"/>
      <w:rPr>
        <w:rFonts w:ascii="Times New Roman" w:hAnsi="Times New Roman" w:cs="Times New Roman"/>
      </w:rPr>
    </w:pPr>
    <w:r w:rsidRPr="004E7B7F">
      <w:rPr>
        <w:rFonts w:ascii="Times New Roman" w:hAnsi="Times New Roman" w:cs="Times New Roman"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3E"/>
    <w:rsid w:val="0013023E"/>
    <w:rsid w:val="0028223E"/>
    <w:rsid w:val="004E7B7F"/>
    <w:rsid w:val="00D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3E"/>
    <w:pPr>
      <w:spacing w:after="0" w:line="240" w:lineRule="auto"/>
      <w:ind w:firstLine="720"/>
    </w:pPr>
  </w:style>
  <w:style w:type="paragraph" w:styleId="Heading2">
    <w:name w:val="heading 2"/>
    <w:basedOn w:val="Normal"/>
    <w:next w:val="Normal"/>
    <w:link w:val="Heading2Char"/>
    <w:qFormat/>
    <w:rsid w:val="0013023E"/>
    <w:pPr>
      <w:keepNext/>
      <w:ind w:firstLine="0"/>
      <w:outlineLvl w:val="1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3023E"/>
    <w:pPr>
      <w:keepNext/>
      <w:ind w:firstLine="0"/>
      <w:outlineLvl w:val="2"/>
    </w:pPr>
    <w:rPr>
      <w:rFonts w:ascii="Comic Sans MS" w:eastAsia="Times New Roman" w:hAnsi="Comic Sans M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3023E"/>
    <w:pPr>
      <w:keepNext/>
      <w:ind w:firstLine="0"/>
      <w:jc w:val="center"/>
      <w:outlineLvl w:val="4"/>
    </w:pPr>
    <w:rPr>
      <w:rFonts w:ascii="Comic Sans MS" w:eastAsia="Times New Roman" w:hAnsi="Comic Sans M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3023E"/>
    <w:pPr>
      <w:keepNext/>
      <w:ind w:firstLine="0"/>
      <w:jc w:val="center"/>
      <w:outlineLvl w:val="5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023E"/>
    <w:pPr>
      <w:keepNext/>
      <w:ind w:firstLine="0"/>
      <w:jc w:val="center"/>
      <w:outlineLvl w:val="7"/>
    </w:pPr>
    <w:rPr>
      <w:rFonts w:ascii="Comic Sans MS" w:eastAsia="Times New Roman" w:hAnsi="Comic Sans MS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023E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3023E"/>
    <w:rPr>
      <w:rFonts w:ascii="Comic Sans MS" w:eastAsia="Times New Roman" w:hAnsi="Comic Sans M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3023E"/>
    <w:rPr>
      <w:rFonts w:ascii="Comic Sans MS" w:eastAsia="Times New Roman" w:hAnsi="Comic Sans MS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3023E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3023E"/>
    <w:rPr>
      <w:rFonts w:ascii="Comic Sans MS" w:eastAsia="Times New Roman" w:hAnsi="Comic Sans MS" w:cs="Times New Roman"/>
      <w:b/>
      <w:bCs/>
      <w:sz w:val="40"/>
      <w:szCs w:val="20"/>
    </w:rPr>
  </w:style>
  <w:style w:type="character" w:styleId="Hyperlink">
    <w:name w:val="Hyperlink"/>
    <w:basedOn w:val="DefaultParagraphFont"/>
    <w:unhideWhenUsed/>
    <w:rsid w:val="001302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3E"/>
  </w:style>
  <w:style w:type="paragraph" w:styleId="Footer">
    <w:name w:val="footer"/>
    <w:basedOn w:val="Normal"/>
    <w:link w:val="FooterChar"/>
    <w:uiPriority w:val="99"/>
    <w:unhideWhenUsed/>
    <w:rsid w:val="00130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3E"/>
    <w:pPr>
      <w:spacing w:after="0" w:line="240" w:lineRule="auto"/>
      <w:ind w:firstLine="720"/>
    </w:pPr>
  </w:style>
  <w:style w:type="paragraph" w:styleId="Heading2">
    <w:name w:val="heading 2"/>
    <w:basedOn w:val="Normal"/>
    <w:next w:val="Normal"/>
    <w:link w:val="Heading2Char"/>
    <w:qFormat/>
    <w:rsid w:val="0013023E"/>
    <w:pPr>
      <w:keepNext/>
      <w:ind w:firstLine="0"/>
      <w:outlineLvl w:val="1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3023E"/>
    <w:pPr>
      <w:keepNext/>
      <w:ind w:firstLine="0"/>
      <w:outlineLvl w:val="2"/>
    </w:pPr>
    <w:rPr>
      <w:rFonts w:ascii="Comic Sans MS" w:eastAsia="Times New Roman" w:hAnsi="Comic Sans M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3023E"/>
    <w:pPr>
      <w:keepNext/>
      <w:ind w:firstLine="0"/>
      <w:jc w:val="center"/>
      <w:outlineLvl w:val="4"/>
    </w:pPr>
    <w:rPr>
      <w:rFonts w:ascii="Comic Sans MS" w:eastAsia="Times New Roman" w:hAnsi="Comic Sans M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3023E"/>
    <w:pPr>
      <w:keepNext/>
      <w:ind w:firstLine="0"/>
      <w:jc w:val="center"/>
      <w:outlineLvl w:val="5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023E"/>
    <w:pPr>
      <w:keepNext/>
      <w:ind w:firstLine="0"/>
      <w:jc w:val="center"/>
      <w:outlineLvl w:val="7"/>
    </w:pPr>
    <w:rPr>
      <w:rFonts w:ascii="Comic Sans MS" w:eastAsia="Times New Roman" w:hAnsi="Comic Sans MS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023E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3023E"/>
    <w:rPr>
      <w:rFonts w:ascii="Comic Sans MS" w:eastAsia="Times New Roman" w:hAnsi="Comic Sans M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3023E"/>
    <w:rPr>
      <w:rFonts w:ascii="Comic Sans MS" w:eastAsia="Times New Roman" w:hAnsi="Comic Sans MS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3023E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3023E"/>
    <w:rPr>
      <w:rFonts w:ascii="Comic Sans MS" w:eastAsia="Times New Roman" w:hAnsi="Comic Sans MS" w:cs="Times New Roman"/>
      <w:b/>
      <w:bCs/>
      <w:sz w:val="40"/>
      <w:szCs w:val="20"/>
    </w:rPr>
  </w:style>
  <w:style w:type="character" w:styleId="Hyperlink">
    <w:name w:val="Hyperlink"/>
    <w:basedOn w:val="DefaultParagraphFont"/>
    <w:unhideWhenUsed/>
    <w:rsid w:val="001302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3E"/>
  </w:style>
  <w:style w:type="paragraph" w:styleId="Footer">
    <w:name w:val="footer"/>
    <w:basedOn w:val="Normal"/>
    <w:link w:val="FooterChar"/>
    <w:uiPriority w:val="99"/>
    <w:unhideWhenUsed/>
    <w:rsid w:val="00130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matic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ematics@doe.virgin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Mazzacane, Tina (DOE)</dc:creator>
  <cp:lastModifiedBy>Mazzacane, Tina (DOE)</cp:lastModifiedBy>
  <cp:revision>3</cp:revision>
  <dcterms:created xsi:type="dcterms:W3CDTF">2017-08-22T17:19:00Z</dcterms:created>
  <dcterms:modified xsi:type="dcterms:W3CDTF">2017-08-22T17:23:00Z</dcterms:modified>
</cp:coreProperties>
</file>