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C1E3" w14:textId="2F159671" w:rsidR="000005A1" w:rsidRPr="000336F2" w:rsidRDefault="000005A1" w:rsidP="000005A1">
      <w:pPr>
        <w:pStyle w:val="Heading1"/>
        <w:tabs>
          <w:tab w:val="left" w:pos="144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>Superintendent’s Memo #</w:t>
      </w:r>
      <w:bookmarkStart w:id="0" w:name="_GoBack"/>
      <w:r w:rsidR="00DC55A2">
        <w:rPr>
          <w:rFonts w:cs="Times New Roman"/>
          <w:szCs w:val="24"/>
        </w:rPr>
        <w:t>323</w:t>
      </w:r>
      <w:r>
        <w:rPr>
          <w:rFonts w:cs="Times New Roman"/>
          <w:szCs w:val="24"/>
        </w:rPr>
        <w:t>-20</w:t>
      </w:r>
      <w:bookmarkEnd w:id="0"/>
    </w:p>
    <w:p w14:paraId="33D52DA8" w14:textId="77777777" w:rsidR="000005A1" w:rsidRPr="000005A1" w:rsidRDefault="000005A1" w:rsidP="00000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6F2">
        <w:rPr>
          <w:rFonts w:cs="Times New Roman"/>
          <w:noProof/>
          <w:szCs w:val="24"/>
        </w:rPr>
        <w:drawing>
          <wp:inline distT="0" distB="0" distL="0" distR="0" wp14:anchorId="6C93838B" wp14:editId="722A5CB6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6F2">
        <w:rPr>
          <w:rFonts w:cs="Times New Roman"/>
          <w:szCs w:val="24"/>
        </w:rPr>
        <w:br/>
      </w:r>
      <w:r w:rsidRPr="000005A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COMMONWEALTH of VIRGINIA </w:t>
      </w:r>
      <w:r w:rsidRPr="000005A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005A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Department of Education</w:t>
      </w:r>
      <w:r w:rsidRPr="000336F2">
        <w:rPr>
          <w:rStyle w:val="Strong"/>
          <w:rFonts w:cs="Times New Roman"/>
          <w:color w:val="000000"/>
          <w:szCs w:val="24"/>
        </w:rPr>
        <w:br/>
      </w:r>
    </w:p>
    <w:p w14:paraId="6342D79C" w14:textId="77777777" w:rsidR="000005A1" w:rsidRDefault="000005A1" w:rsidP="000005A1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0C7F6D35" w14:textId="6E968ACA" w:rsidR="000005A1" w:rsidRDefault="000005A1" w:rsidP="000005A1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December 11, 2020</w:t>
      </w:r>
    </w:p>
    <w:p w14:paraId="20574891" w14:textId="19A20D67" w:rsidR="000005A1" w:rsidRDefault="000005A1" w:rsidP="000005A1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14:paraId="3BAADC65" w14:textId="6A880E32" w:rsidR="000005A1" w:rsidRDefault="000005A1" w:rsidP="000005A1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  <w:t>James F. Lane, Ed.D., Superintendent of Public Instruction</w:t>
      </w:r>
    </w:p>
    <w:p w14:paraId="00959652" w14:textId="6DB498C0" w:rsidR="000005A1" w:rsidRPr="000005A1" w:rsidRDefault="000005A1" w:rsidP="000005A1">
      <w:pPr>
        <w:tabs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005A1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0005A1">
        <w:rPr>
          <w:rFonts w:ascii="Times New Roman" w:hAnsi="Times New Roman" w:cs="Times New Roman"/>
          <w:b/>
          <w:bCs/>
          <w:sz w:val="24"/>
          <w:szCs w:val="24"/>
        </w:rPr>
        <w:tab/>
        <w:t>Awarding High School Credit for Dual Enrollment Coursework</w:t>
      </w:r>
    </w:p>
    <w:p w14:paraId="7257AEA7" w14:textId="48BEB019" w:rsidR="00206654" w:rsidRPr="001A2C16" w:rsidRDefault="00AB389E">
      <w:pPr>
        <w:rPr>
          <w:rFonts w:ascii="Times New Roman" w:hAnsi="Times New Roman" w:cs="Times New Roman"/>
          <w:sz w:val="24"/>
          <w:szCs w:val="24"/>
        </w:rPr>
      </w:pPr>
      <w:r w:rsidRPr="001A2C16">
        <w:rPr>
          <w:rFonts w:ascii="Times New Roman" w:hAnsi="Times New Roman" w:cs="Times New Roman"/>
          <w:sz w:val="24"/>
          <w:szCs w:val="24"/>
        </w:rPr>
        <w:t>In 20</w:t>
      </w:r>
      <w:r w:rsidR="00F72A0B" w:rsidRPr="001A2C16">
        <w:rPr>
          <w:rFonts w:ascii="Times New Roman" w:hAnsi="Times New Roman" w:cs="Times New Roman"/>
          <w:sz w:val="24"/>
          <w:szCs w:val="24"/>
        </w:rPr>
        <w:t>18</w:t>
      </w:r>
      <w:r w:rsidRPr="001A2C16">
        <w:rPr>
          <w:rFonts w:ascii="Times New Roman" w:hAnsi="Times New Roman" w:cs="Times New Roman"/>
          <w:sz w:val="24"/>
          <w:szCs w:val="24"/>
        </w:rPr>
        <w:t xml:space="preserve">, </w:t>
      </w:r>
      <w:r w:rsidR="00020FB1" w:rsidRPr="001A2C16">
        <w:rPr>
          <w:rFonts w:ascii="Times New Roman" w:hAnsi="Times New Roman" w:cs="Times New Roman"/>
          <w:sz w:val="24"/>
          <w:szCs w:val="24"/>
        </w:rPr>
        <w:t xml:space="preserve">the </w:t>
      </w:r>
      <w:r w:rsidR="00F72A0B" w:rsidRPr="001A2C16">
        <w:rPr>
          <w:rFonts w:ascii="Times New Roman" w:hAnsi="Times New Roman" w:cs="Times New Roman"/>
          <w:sz w:val="24"/>
          <w:szCs w:val="24"/>
        </w:rPr>
        <w:t>S</w:t>
      </w:r>
      <w:r w:rsidR="00020FB1" w:rsidRPr="001A2C16">
        <w:rPr>
          <w:rFonts w:ascii="Times New Roman" w:hAnsi="Times New Roman" w:cs="Times New Roman"/>
          <w:sz w:val="24"/>
          <w:szCs w:val="24"/>
        </w:rPr>
        <w:t xml:space="preserve">tate </w:t>
      </w:r>
      <w:r w:rsidR="00F72A0B" w:rsidRPr="001A2C16">
        <w:rPr>
          <w:rFonts w:ascii="Times New Roman" w:hAnsi="Times New Roman" w:cs="Times New Roman"/>
          <w:sz w:val="24"/>
          <w:szCs w:val="24"/>
        </w:rPr>
        <w:t>C</w:t>
      </w:r>
      <w:r w:rsidR="00020FB1" w:rsidRPr="001A2C16">
        <w:rPr>
          <w:rFonts w:ascii="Times New Roman" w:hAnsi="Times New Roman" w:cs="Times New Roman"/>
          <w:sz w:val="24"/>
          <w:szCs w:val="24"/>
        </w:rPr>
        <w:t xml:space="preserve">ouncil of </w:t>
      </w:r>
      <w:r w:rsidR="00F72A0B" w:rsidRPr="001A2C16">
        <w:rPr>
          <w:rFonts w:ascii="Times New Roman" w:hAnsi="Times New Roman" w:cs="Times New Roman"/>
          <w:sz w:val="24"/>
          <w:szCs w:val="24"/>
        </w:rPr>
        <w:t>H</w:t>
      </w:r>
      <w:r w:rsidR="00020FB1" w:rsidRPr="001A2C16">
        <w:rPr>
          <w:rFonts w:ascii="Times New Roman" w:hAnsi="Times New Roman" w:cs="Times New Roman"/>
          <w:sz w:val="24"/>
          <w:szCs w:val="24"/>
        </w:rPr>
        <w:t xml:space="preserve">igher </w:t>
      </w:r>
      <w:r w:rsidR="00F72A0B" w:rsidRPr="001A2C16">
        <w:rPr>
          <w:rFonts w:ascii="Times New Roman" w:hAnsi="Times New Roman" w:cs="Times New Roman"/>
          <w:sz w:val="24"/>
          <w:szCs w:val="24"/>
        </w:rPr>
        <w:t>E</w:t>
      </w:r>
      <w:r w:rsidR="00020FB1" w:rsidRPr="001A2C16">
        <w:rPr>
          <w:rFonts w:ascii="Times New Roman" w:hAnsi="Times New Roman" w:cs="Times New Roman"/>
          <w:sz w:val="24"/>
          <w:szCs w:val="24"/>
        </w:rPr>
        <w:t xml:space="preserve">ducation for </w:t>
      </w:r>
      <w:r w:rsidR="00F72A0B" w:rsidRPr="001A2C16">
        <w:rPr>
          <w:rFonts w:ascii="Times New Roman" w:hAnsi="Times New Roman" w:cs="Times New Roman"/>
          <w:sz w:val="24"/>
          <w:szCs w:val="24"/>
        </w:rPr>
        <w:t>V</w:t>
      </w:r>
      <w:r w:rsidR="00020FB1" w:rsidRPr="001A2C16">
        <w:rPr>
          <w:rFonts w:ascii="Times New Roman" w:hAnsi="Times New Roman" w:cs="Times New Roman"/>
          <w:sz w:val="24"/>
          <w:szCs w:val="24"/>
        </w:rPr>
        <w:t>irginia (SCHEV)</w:t>
      </w:r>
      <w:r w:rsidR="00F72A0B" w:rsidRPr="001A2C16">
        <w:rPr>
          <w:rFonts w:ascii="Times New Roman" w:hAnsi="Times New Roman" w:cs="Times New Roman"/>
          <w:sz w:val="24"/>
          <w:szCs w:val="24"/>
        </w:rPr>
        <w:t xml:space="preserve"> and </w:t>
      </w:r>
      <w:r w:rsidR="00020FB1" w:rsidRPr="001A2C16">
        <w:rPr>
          <w:rFonts w:ascii="Times New Roman" w:hAnsi="Times New Roman" w:cs="Times New Roman"/>
          <w:sz w:val="24"/>
          <w:szCs w:val="24"/>
        </w:rPr>
        <w:t>the Virginia Community College System (</w:t>
      </w:r>
      <w:r w:rsidRPr="001A2C16">
        <w:rPr>
          <w:rFonts w:ascii="Times New Roman" w:hAnsi="Times New Roman" w:cs="Times New Roman"/>
          <w:sz w:val="24"/>
          <w:szCs w:val="24"/>
        </w:rPr>
        <w:t>VCCS</w:t>
      </w:r>
      <w:r w:rsidR="00020FB1" w:rsidRPr="001A2C16">
        <w:rPr>
          <w:rFonts w:ascii="Times New Roman" w:hAnsi="Times New Roman" w:cs="Times New Roman"/>
          <w:sz w:val="24"/>
          <w:szCs w:val="24"/>
        </w:rPr>
        <w:t>)</w:t>
      </w:r>
      <w:r w:rsidRPr="001A2C16">
        <w:rPr>
          <w:rFonts w:ascii="Times New Roman" w:hAnsi="Times New Roman" w:cs="Times New Roman"/>
          <w:sz w:val="24"/>
          <w:szCs w:val="24"/>
        </w:rPr>
        <w:t xml:space="preserve"> initiated the </w:t>
      </w:r>
      <w:bookmarkStart w:id="1" w:name="_Hlk58232747"/>
      <w:r w:rsidR="00B04C16" w:rsidRPr="001A2C16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DC55A2">
        <w:rPr>
          <w:rFonts w:ascii="Times New Roman" w:hAnsi="Times New Roman" w:cs="Times New Roman"/>
          <w:i/>
          <w:sz w:val="24"/>
          <w:szCs w:val="24"/>
        </w:rPr>
        <w:instrText>HYPERLINK "https://drive.google.com/file/d/1jGa2GUIr6ZrNLMKCnvKVu-lbv1jYZ6lW/view?usp=sharing"</w:instrText>
      </w:r>
      <w:r w:rsidR="00DC55A2" w:rsidRPr="001A2C16">
        <w:rPr>
          <w:rFonts w:ascii="Times New Roman" w:hAnsi="Times New Roman" w:cs="Times New Roman"/>
          <w:i/>
          <w:sz w:val="24"/>
          <w:szCs w:val="24"/>
        </w:rPr>
      </w:r>
      <w:r w:rsidR="00B04C16" w:rsidRPr="001A2C16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1A2C16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Transfer </w:t>
      </w:r>
      <w:r w:rsidRPr="001A2C16">
        <w:rPr>
          <w:rStyle w:val="Hyperlink"/>
          <w:rFonts w:ascii="Times New Roman" w:hAnsi="Times New Roman" w:cs="Times New Roman"/>
          <w:i/>
          <w:sz w:val="24"/>
          <w:szCs w:val="24"/>
        </w:rPr>
        <w:t>V</w:t>
      </w:r>
      <w:r w:rsidRPr="001A2C16">
        <w:rPr>
          <w:rStyle w:val="Hyperlink"/>
          <w:rFonts w:ascii="Times New Roman" w:hAnsi="Times New Roman" w:cs="Times New Roman"/>
          <w:i/>
          <w:sz w:val="24"/>
          <w:szCs w:val="24"/>
        </w:rPr>
        <w:t>irginia</w:t>
      </w:r>
      <w:bookmarkEnd w:id="1"/>
      <w:r w:rsidR="00B04C16" w:rsidRPr="001A2C16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1A2C16">
        <w:rPr>
          <w:rFonts w:ascii="Times New Roman" w:hAnsi="Times New Roman" w:cs="Times New Roman"/>
          <w:sz w:val="24"/>
          <w:szCs w:val="24"/>
        </w:rPr>
        <w:t xml:space="preserve"> initiative </w:t>
      </w:r>
      <w:r w:rsidR="007E7012" w:rsidRPr="001A2C16">
        <w:rPr>
          <w:rFonts w:ascii="Times New Roman" w:hAnsi="Times New Roman" w:cs="Times New Roman"/>
          <w:sz w:val="24"/>
          <w:szCs w:val="24"/>
        </w:rPr>
        <w:t>aimed at</w:t>
      </w:r>
      <w:r w:rsidR="00F72A0B" w:rsidRPr="001A2C16">
        <w:rPr>
          <w:rFonts w:ascii="Times New Roman" w:hAnsi="Times New Roman" w:cs="Times New Roman"/>
          <w:sz w:val="24"/>
          <w:szCs w:val="24"/>
        </w:rPr>
        <w:t xml:space="preserve"> building a system in which Virginia’s transfer students will find their college education more affordable, efficient, equitable, and relevant. Through this work,</w:t>
      </w:r>
      <w:r w:rsidR="001A2C16" w:rsidRPr="001A2C16">
        <w:rPr>
          <w:rFonts w:ascii="Times New Roman" w:hAnsi="Times New Roman" w:cs="Times New Roman"/>
          <w:sz w:val="24"/>
          <w:szCs w:val="24"/>
        </w:rPr>
        <w:t xml:space="preserve"> </w:t>
      </w:r>
      <w:r w:rsidR="00F72A0B" w:rsidRPr="001A2C16">
        <w:rPr>
          <w:rFonts w:ascii="Times New Roman" w:hAnsi="Times New Roman" w:cs="Times New Roman"/>
          <w:i/>
          <w:sz w:val="24"/>
          <w:szCs w:val="24"/>
        </w:rPr>
        <w:t>Transfer Virginia</w:t>
      </w:r>
      <w:r w:rsidR="00F72A0B" w:rsidRPr="001A2C16">
        <w:rPr>
          <w:rFonts w:ascii="Times New Roman" w:hAnsi="Times New Roman" w:cs="Times New Roman"/>
          <w:sz w:val="24"/>
          <w:szCs w:val="24"/>
        </w:rPr>
        <w:t xml:space="preserve"> is</w:t>
      </w:r>
      <w:r w:rsidR="007E7012" w:rsidRPr="001A2C16">
        <w:rPr>
          <w:rFonts w:ascii="Times New Roman" w:hAnsi="Times New Roman" w:cs="Times New Roman"/>
          <w:sz w:val="24"/>
          <w:szCs w:val="24"/>
        </w:rPr>
        <w:t xml:space="preserve"> working to ensure consistency in credits awarded by </w:t>
      </w:r>
      <w:r w:rsidR="00020FB1" w:rsidRPr="001A2C16">
        <w:rPr>
          <w:rFonts w:ascii="Times New Roman" w:hAnsi="Times New Roman" w:cs="Times New Roman"/>
          <w:sz w:val="24"/>
          <w:szCs w:val="24"/>
        </w:rPr>
        <w:t>four</w:t>
      </w:r>
      <w:r w:rsidR="007E7012" w:rsidRPr="001A2C16">
        <w:rPr>
          <w:rFonts w:ascii="Times New Roman" w:hAnsi="Times New Roman" w:cs="Times New Roman"/>
          <w:sz w:val="24"/>
          <w:szCs w:val="24"/>
        </w:rPr>
        <w:t>-year colleges for college credits earned by high school students in Virginia through dual enrollment offerings.</w:t>
      </w:r>
      <w:r w:rsidR="00F72A0B" w:rsidRPr="001A2C16">
        <w:rPr>
          <w:rFonts w:ascii="Times New Roman" w:hAnsi="Times New Roman" w:cs="Times New Roman"/>
          <w:sz w:val="24"/>
          <w:szCs w:val="24"/>
        </w:rPr>
        <w:t xml:space="preserve"> In addition, progress is being made on identifying practices that result in extra credits being earned by students that </w:t>
      </w:r>
      <w:r w:rsidR="00020FB1" w:rsidRPr="001A2C16">
        <w:rPr>
          <w:rFonts w:ascii="Times New Roman" w:hAnsi="Times New Roman" w:cs="Times New Roman"/>
          <w:sz w:val="24"/>
          <w:szCs w:val="24"/>
        </w:rPr>
        <w:t>may</w:t>
      </w:r>
      <w:r w:rsidR="00F72A0B" w:rsidRPr="001A2C16">
        <w:rPr>
          <w:rFonts w:ascii="Times New Roman" w:hAnsi="Times New Roman" w:cs="Times New Roman"/>
          <w:sz w:val="24"/>
          <w:szCs w:val="24"/>
        </w:rPr>
        <w:t xml:space="preserve"> not apply to degree completion.</w:t>
      </w:r>
      <w:r w:rsidR="00331BF7" w:rsidRPr="001A2C16">
        <w:rPr>
          <w:rFonts w:ascii="Times New Roman" w:hAnsi="Times New Roman" w:cs="Times New Roman"/>
          <w:sz w:val="24"/>
          <w:szCs w:val="24"/>
        </w:rPr>
        <w:t xml:space="preserve"> One such practice is the automatic pairing of each high school course unit with six</w:t>
      </w:r>
      <w:r w:rsidR="001A2C16" w:rsidRPr="001A2C16">
        <w:rPr>
          <w:rFonts w:ascii="Times New Roman" w:hAnsi="Times New Roman" w:cs="Times New Roman"/>
          <w:sz w:val="24"/>
          <w:szCs w:val="24"/>
        </w:rPr>
        <w:t xml:space="preserve"> </w:t>
      </w:r>
      <w:r w:rsidR="00331BF7" w:rsidRPr="001A2C16">
        <w:rPr>
          <w:rFonts w:ascii="Times New Roman" w:hAnsi="Times New Roman" w:cs="Times New Roman"/>
          <w:sz w:val="24"/>
          <w:szCs w:val="24"/>
        </w:rPr>
        <w:t>credits of college coursework.</w:t>
      </w:r>
      <w:r w:rsidR="007E7012" w:rsidRPr="001A2C16">
        <w:rPr>
          <w:rFonts w:ascii="Times New Roman" w:hAnsi="Times New Roman" w:cs="Times New Roman"/>
          <w:sz w:val="24"/>
          <w:szCs w:val="24"/>
        </w:rPr>
        <w:t xml:space="preserve"> The work to ensure consistency among</w:t>
      </w:r>
      <w:r w:rsidR="00206654" w:rsidRPr="001A2C16">
        <w:rPr>
          <w:rFonts w:ascii="Times New Roman" w:hAnsi="Times New Roman" w:cs="Times New Roman"/>
          <w:sz w:val="24"/>
          <w:szCs w:val="24"/>
        </w:rPr>
        <w:t xml:space="preserve"> </w:t>
      </w:r>
      <w:r w:rsidR="007E7012" w:rsidRPr="001A2C16">
        <w:rPr>
          <w:rFonts w:ascii="Times New Roman" w:hAnsi="Times New Roman" w:cs="Times New Roman"/>
          <w:sz w:val="24"/>
          <w:szCs w:val="24"/>
        </w:rPr>
        <w:t>college</w:t>
      </w:r>
      <w:r w:rsidR="00206654" w:rsidRPr="001A2C16">
        <w:rPr>
          <w:rFonts w:ascii="Times New Roman" w:hAnsi="Times New Roman" w:cs="Times New Roman"/>
          <w:sz w:val="24"/>
          <w:szCs w:val="24"/>
        </w:rPr>
        <w:t xml:space="preserve"> credit</w:t>
      </w:r>
      <w:r w:rsidR="007E7012" w:rsidRPr="001A2C16">
        <w:rPr>
          <w:rFonts w:ascii="Times New Roman" w:hAnsi="Times New Roman" w:cs="Times New Roman"/>
          <w:sz w:val="24"/>
          <w:szCs w:val="24"/>
        </w:rPr>
        <w:t xml:space="preserve"> offerings and expectations </w:t>
      </w:r>
      <w:r w:rsidR="00206654" w:rsidRPr="001A2C16">
        <w:rPr>
          <w:rFonts w:ascii="Times New Roman" w:hAnsi="Times New Roman" w:cs="Times New Roman"/>
          <w:sz w:val="24"/>
          <w:szCs w:val="24"/>
        </w:rPr>
        <w:t xml:space="preserve">identified the need to provide clarity </w:t>
      </w:r>
      <w:r w:rsidR="007E7012" w:rsidRPr="001A2C16">
        <w:rPr>
          <w:rFonts w:ascii="Times New Roman" w:hAnsi="Times New Roman" w:cs="Times New Roman"/>
          <w:sz w:val="24"/>
          <w:szCs w:val="24"/>
        </w:rPr>
        <w:t>regarding</w:t>
      </w:r>
      <w:r w:rsidR="00206654" w:rsidRPr="001A2C16">
        <w:rPr>
          <w:rFonts w:ascii="Times New Roman" w:hAnsi="Times New Roman" w:cs="Times New Roman"/>
          <w:sz w:val="24"/>
          <w:szCs w:val="24"/>
        </w:rPr>
        <w:t xml:space="preserve"> the awarding of</w:t>
      </w:r>
      <w:r w:rsidR="007E7012" w:rsidRPr="001A2C16">
        <w:rPr>
          <w:rFonts w:ascii="Times New Roman" w:hAnsi="Times New Roman" w:cs="Times New Roman"/>
          <w:sz w:val="24"/>
          <w:szCs w:val="24"/>
        </w:rPr>
        <w:t xml:space="preserve"> </w:t>
      </w:r>
      <w:r w:rsidR="00206654" w:rsidRPr="001A2C16">
        <w:rPr>
          <w:rFonts w:ascii="Times New Roman" w:hAnsi="Times New Roman" w:cs="Times New Roman"/>
          <w:sz w:val="24"/>
          <w:szCs w:val="24"/>
        </w:rPr>
        <w:t>high school credits</w:t>
      </w:r>
      <w:r w:rsidR="007E7012" w:rsidRPr="001A2C16">
        <w:rPr>
          <w:rFonts w:ascii="Times New Roman" w:hAnsi="Times New Roman" w:cs="Times New Roman"/>
          <w:sz w:val="24"/>
          <w:szCs w:val="24"/>
        </w:rPr>
        <w:t xml:space="preserve"> </w:t>
      </w:r>
      <w:r w:rsidR="00206654" w:rsidRPr="001A2C16">
        <w:rPr>
          <w:rFonts w:ascii="Times New Roman" w:hAnsi="Times New Roman" w:cs="Times New Roman"/>
          <w:sz w:val="24"/>
          <w:szCs w:val="24"/>
        </w:rPr>
        <w:t>for dual enrollment courses.</w:t>
      </w:r>
      <w:r w:rsidR="007E7012" w:rsidRPr="001A2C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18DE35" w14:textId="77777777" w:rsidR="00206654" w:rsidRPr="001A2C16" w:rsidRDefault="00206654" w:rsidP="00206654">
      <w:pPr>
        <w:pStyle w:val="NormalWeb"/>
        <w:spacing w:after="0"/>
        <w:rPr>
          <w:rFonts w:eastAsia="Times New Roman"/>
        </w:rPr>
      </w:pPr>
      <w:r w:rsidRPr="001A2C16">
        <w:rPr>
          <w:rFonts w:eastAsia="Times New Roman"/>
          <w:b/>
          <w:bCs/>
          <w:color w:val="000000"/>
          <w:shd w:val="clear" w:color="auto" w:fill="FFFFFF"/>
        </w:rPr>
        <w:t>Awarding High School Credit for Dual Enrollment Coursework</w:t>
      </w:r>
    </w:p>
    <w:p w14:paraId="3F117C1C" w14:textId="77777777" w:rsidR="00206654" w:rsidRPr="001A2C16" w:rsidRDefault="00206654" w:rsidP="0020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6AC1F" w14:textId="785DAD6B" w:rsidR="00020FB1" w:rsidRPr="001A2C16" w:rsidRDefault="00020FB1" w:rsidP="0002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standard unit of credit in high school is equivalent to 140 clock hours. School divisions may waive the 140</w:t>
      </w:r>
      <w:r w:rsidR="001A2C16"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clock</w:t>
      </w:r>
      <w:r w:rsidR="001A2C16"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hour requirement and elect to award credit on a basis other than the 140 clock hours of instruction. Such school divisions must develop a written policy and comply with </w:t>
      </w:r>
      <w:r w:rsidR="001A2C16"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Board of Education guidelines. The Board of Education guidelines may be found in the </w:t>
      </w:r>
      <w:hyperlink r:id="rId6" w:history="1">
        <w:r w:rsidRPr="001A2C1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Guidance Document Governing Certain P</w:t>
        </w:r>
        <w:r w:rsidRPr="001A2C1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r</w:t>
        </w:r>
        <w:r w:rsidRPr="001A2C1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ovisions of the SOA</w:t>
        </w:r>
      </w:hyperlink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under 8VAC20-131-110 in the section titled “Alternatives to the 140 Clock Hour Requirement for Standard Units of Credit.” </w:t>
      </w:r>
    </w:p>
    <w:p w14:paraId="12B62750" w14:textId="77777777" w:rsidR="00020FB1" w:rsidRPr="001A2C16" w:rsidRDefault="00020FB1" w:rsidP="0002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10ED9E3" w14:textId="77777777" w:rsidR="00020FB1" w:rsidRPr="001A2C16" w:rsidRDefault="00020FB1" w:rsidP="0002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typical three-credit college course meets synchronously for 48 clock hours with the additional expectation of 96 hours of asynchronous, independent student work for course completion for a minimum of 144 hours of student engagement.</w:t>
      </w:r>
    </w:p>
    <w:p w14:paraId="61C9D1A6" w14:textId="77777777" w:rsidR="00020FB1" w:rsidRPr="001A2C16" w:rsidRDefault="00020FB1" w:rsidP="0002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92A70D6" w14:textId="30D02BEB" w:rsidR="00020FB1" w:rsidRPr="001A2C16" w:rsidRDefault="00020FB1" w:rsidP="0002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awarding of high school credits through a dually-enrolled college course should be based on the inclusion of content expectations for the high school course being considered for credit. </w:t>
      </w: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Thus, a school division may award a high school credit based on the completion of one </w:t>
      </w: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dual enrollment course meeting the credit criteria.</w:t>
      </w: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the course in question falls below the 140</w:t>
      </w:r>
      <w:r w:rsidR="001A2C16"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clock</w:t>
      </w:r>
      <w:r w:rsidR="001A2C16"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hour requirement, then the local school board may award a standard unit of credit if a local policy exists enabling them to do so.</w:t>
      </w:r>
    </w:p>
    <w:p w14:paraId="7C378E3E" w14:textId="77777777" w:rsidR="00020FB1" w:rsidRPr="001A2C16" w:rsidRDefault="00020FB1" w:rsidP="0002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2C102E1" w14:textId="7C055237" w:rsidR="00310821" w:rsidRPr="001A2C16" w:rsidRDefault="00020FB1" w:rsidP="0002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</w:rPr>
        <w:t>The determination of awarding a credit for dual enrollment must be made prior to the course being offered by a local school division.</w:t>
      </w:r>
    </w:p>
    <w:p w14:paraId="73300BDA" w14:textId="15439E69" w:rsidR="000005A1" w:rsidRPr="001A2C16" w:rsidRDefault="000005A1" w:rsidP="0002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20F17E" w14:textId="513FBA5B" w:rsidR="000005A1" w:rsidRPr="001A2C16" w:rsidRDefault="000005A1" w:rsidP="00020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</w:rPr>
        <w:t>JFL/MFB/</w:t>
      </w:r>
      <w:proofErr w:type="spellStart"/>
      <w:r w:rsidRPr="001A2C16">
        <w:rPr>
          <w:rFonts w:ascii="Times New Roman" w:eastAsia="Times New Roman" w:hAnsi="Times New Roman" w:cs="Times New Roman"/>
          <w:color w:val="000000"/>
          <w:sz w:val="24"/>
          <w:szCs w:val="24"/>
        </w:rPr>
        <w:t>oml</w:t>
      </w:r>
      <w:proofErr w:type="spellEnd"/>
    </w:p>
    <w:sectPr w:rsidR="000005A1" w:rsidRPr="001A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B5"/>
    <w:rsid w:val="000005A1"/>
    <w:rsid w:val="00020FB1"/>
    <w:rsid w:val="000251B5"/>
    <w:rsid w:val="001A2C16"/>
    <w:rsid w:val="00206654"/>
    <w:rsid w:val="00310821"/>
    <w:rsid w:val="00331BF7"/>
    <w:rsid w:val="006A08EA"/>
    <w:rsid w:val="007E7012"/>
    <w:rsid w:val="00895010"/>
    <w:rsid w:val="00AB389E"/>
    <w:rsid w:val="00B04C16"/>
    <w:rsid w:val="00D30234"/>
    <w:rsid w:val="00DC55A2"/>
    <w:rsid w:val="00F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779"/>
  <w15:chartTrackingRefBased/>
  <w15:docId w15:val="{570CFCCD-17F3-47B1-8C4B-2B6CCF29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5A1"/>
    <w:pPr>
      <w:spacing w:after="200" w:line="276" w:lineRule="auto"/>
      <w:jc w:val="right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6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F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05A1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rsid w:val="00000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1.safelinks.protection.outlook.com/?url=https%3A%2F%2Fwww.doe.virginia.gov%2Fboe%2Faccreditation%2Fsoa-guidance-document.docx&amp;data=04%7C01%7Cpparker%40vccs.edu%7Cfc520150c0ff474567a408d8828e4bd1%7Cfab6beb5360442dfbddcf4e9ddd654d5%7C0%7C0%7C637402894979106891%7CUnknown%7CTWFpbGZsb3d8eyJWIjoiMC4wLjAwMDAiLCJQIjoiV2luMzIiLCJBTiI6Ik1haWwiLCJXVCI6Mn0%3D%7C1000&amp;sdata=X40HRVU2VgiZJECcSH84gL2%2B3gf85fzJrr%2BusBd8JE0%3D&amp;reserved=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doe.virginia.gov/administrator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#323-20</vt:lpstr>
    </vt:vector>
  </TitlesOfParts>
  <Company>Virginia Department of Education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#323-20</dc:title>
  <dc:subject/>
  <dc:creator>Dr. James Lane</dc:creator>
  <cp:keywords/>
  <dc:description/>
  <cp:lastModifiedBy>Jennings, Laura (DOE)</cp:lastModifiedBy>
  <cp:revision>2</cp:revision>
  <dcterms:created xsi:type="dcterms:W3CDTF">2020-12-08T21:26:00Z</dcterms:created>
  <dcterms:modified xsi:type="dcterms:W3CDTF">2020-12-08T21:26:00Z</dcterms:modified>
</cp:coreProperties>
</file>