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6769" w14:textId="32FC6777" w:rsidR="00167950" w:rsidRPr="002F2AF8" w:rsidRDefault="00167950" w:rsidP="00482919">
      <w:pPr>
        <w:pStyle w:val="Heading1"/>
        <w:tabs>
          <w:tab w:val="left" w:pos="1440"/>
          <w:tab w:val="left" w:pos="252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767E44">
        <w:rPr>
          <w:szCs w:val="24"/>
        </w:rPr>
        <w:t>283</w:t>
      </w:r>
      <w:r w:rsidR="00FB24B9">
        <w:rPr>
          <w:szCs w:val="24"/>
        </w:rPr>
        <w:t>-20</w:t>
      </w:r>
      <w:bookmarkEnd w:id="0"/>
    </w:p>
    <w:p w14:paraId="330B070E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3348179" wp14:editId="1057A18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491A6ABE" w14:textId="11B3AAE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307DB5">
        <w:rPr>
          <w:szCs w:val="24"/>
        </w:rPr>
        <w:t xml:space="preserve">October </w:t>
      </w:r>
      <w:r w:rsidR="00A75809">
        <w:rPr>
          <w:szCs w:val="24"/>
        </w:rPr>
        <w:t>23</w:t>
      </w:r>
      <w:r w:rsidR="00EC7B34">
        <w:rPr>
          <w:szCs w:val="24"/>
        </w:rPr>
        <w:t>, 2020</w:t>
      </w:r>
    </w:p>
    <w:p w14:paraId="157DDFE1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190280F3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spellStart"/>
      <w:proofErr w:type="gramStart"/>
      <w:r w:rsidR="00414707" w:rsidRPr="002F2AF8">
        <w:rPr>
          <w:color w:val="000000"/>
          <w:szCs w:val="24"/>
        </w:rPr>
        <w:t>Ed.D</w:t>
      </w:r>
      <w:proofErr w:type="spellEnd"/>
      <w:r w:rsidR="00414707" w:rsidRPr="002F2AF8">
        <w:rPr>
          <w:color w:val="000000"/>
          <w:szCs w:val="24"/>
        </w:rPr>
        <w:t>.,</w:t>
      </w:r>
      <w:proofErr w:type="gramEnd"/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14:paraId="1019A553" w14:textId="77777777" w:rsidR="00167950" w:rsidRPr="002F2AF8" w:rsidRDefault="00167950" w:rsidP="00172268">
      <w:pPr>
        <w:pStyle w:val="Heading2"/>
        <w:tabs>
          <w:tab w:val="left" w:pos="1800"/>
        </w:tabs>
        <w:spacing w:after="24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657A79">
        <w:rPr>
          <w:szCs w:val="24"/>
        </w:rPr>
        <w:t>Reports to Law Enforcement</w:t>
      </w:r>
    </w:p>
    <w:p w14:paraId="42E819B9" w14:textId="482343A9" w:rsidR="001669E5" w:rsidRDefault="00C70B32" w:rsidP="00172268">
      <w:pPr>
        <w:spacing w:after="0" w:line="240" w:lineRule="auto"/>
      </w:pPr>
      <w:hyperlink r:id="rId10" w:history="1">
        <w:r w:rsidR="00657A79" w:rsidRPr="00A86056">
          <w:rPr>
            <w:rStyle w:val="Hyperlink"/>
          </w:rPr>
          <w:t>House Bill 257</w:t>
        </w:r>
        <w:r w:rsidR="00657A79" w:rsidRPr="00657A79">
          <w:rPr>
            <w:rStyle w:val="Hyperlink"/>
            <w:u w:val="none"/>
          </w:rPr>
          <w:t xml:space="preserve"> </w:t>
        </w:r>
      </w:hyperlink>
      <w:r w:rsidR="00657A79">
        <w:rPr>
          <w:rStyle w:val="Hyperlink"/>
          <w:color w:val="auto"/>
          <w:u w:val="none"/>
        </w:rPr>
        <w:t xml:space="preserve">and </w:t>
      </w:r>
      <w:hyperlink r:id="rId11" w:history="1">
        <w:r w:rsidR="00657A79" w:rsidRPr="00077C6E">
          <w:rPr>
            <w:rStyle w:val="Hyperlink"/>
          </w:rPr>
          <w:t>S</w:t>
        </w:r>
        <w:r w:rsidR="00077C6E" w:rsidRPr="00077C6E">
          <w:rPr>
            <w:rStyle w:val="Hyperlink"/>
          </w:rPr>
          <w:t xml:space="preserve">enate </w:t>
        </w:r>
        <w:r w:rsidR="00657A79" w:rsidRPr="00077C6E">
          <w:rPr>
            <w:rStyle w:val="Hyperlink"/>
          </w:rPr>
          <w:t>B</w:t>
        </w:r>
        <w:r w:rsidR="00077C6E" w:rsidRPr="00077C6E">
          <w:rPr>
            <w:rStyle w:val="Hyperlink"/>
          </w:rPr>
          <w:t xml:space="preserve">ill </w:t>
        </w:r>
        <w:r w:rsidR="00657A79" w:rsidRPr="00077C6E">
          <w:rPr>
            <w:rStyle w:val="Hyperlink"/>
          </w:rPr>
          <w:t>729</w:t>
        </w:r>
      </w:hyperlink>
      <w:r w:rsidR="00657A79">
        <w:rPr>
          <w:rStyle w:val="Hyperlink"/>
          <w:color w:val="auto"/>
          <w:u w:val="none"/>
        </w:rPr>
        <w:t xml:space="preserve">, which became effective July 1, 2020, </w:t>
      </w:r>
      <w:r w:rsidR="00657A79">
        <w:t>eliminated</w:t>
      </w:r>
      <w:r w:rsidR="00657A79" w:rsidRPr="00685D70">
        <w:t xml:space="preserve"> </w:t>
      </w:r>
      <w:r w:rsidR="00657A79" w:rsidRPr="00657A79">
        <w:t>the</w:t>
      </w:r>
      <w:r w:rsidR="00657A79" w:rsidRPr="00685D70">
        <w:t xml:space="preserve"> requirement that school principals report to law enforcement certain enumerated acts that may constitute a misdemeanor offense as outlined in </w:t>
      </w:r>
      <w:r w:rsidR="00482919">
        <w:t>Su</w:t>
      </w:r>
      <w:r w:rsidR="00657A79" w:rsidRPr="00685D70">
        <w:t xml:space="preserve">bsection A of </w:t>
      </w:r>
      <w:hyperlink r:id="rId12" w:history="1">
        <w:r w:rsidR="00657A79" w:rsidRPr="00657A79">
          <w:rPr>
            <w:rStyle w:val="Hyperlink"/>
          </w:rPr>
          <w:t>§ 22.1-279.3:1</w:t>
        </w:r>
        <w:r w:rsidR="00657A79" w:rsidRPr="00030106">
          <w:rPr>
            <w:rStyle w:val="Hyperlink"/>
            <w:color w:val="auto"/>
            <w:u w:val="none"/>
          </w:rPr>
          <w:t>.</w:t>
        </w:r>
      </w:hyperlink>
      <w:r w:rsidR="00657A79" w:rsidRPr="00657A79">
        <w:t xml:space="preserve"> </w:t>
      </w:r>
      <w:r w:rsidR="00417414">
        <w:t>T</w:t>
      </w:r>
      <w:r w:rsidR="00927916">
        <w:t>his</w:t>
      </w:r>
      <w:r w:rsidR="00B81236">
        <w:t xml:space="preserve"> </w:t>
      </w:r>
      <w:r w:rsidR="001669E5">
        <w:t xml:space="preserve">change requires </w:t>
      </w:r>
      <w:r w:rsidR="00417414">
        <w:t xml:space="preserve">reports to law enforcement for </w:t>
      </w:r>
      <w:r w:rsidR="00AC23E4">
        <w:t xml:space="preserve">behaviors </w:t>
      </w:r>
      <w:r w:rsidR="001669E5" w:rsidRPr="001669E5">
        <w:t xml:space="preserve">that </w:t>
      </w:r>
      <w:r w:rsidR="00417414">
        <w:t>“</w:t>
      </w:r>
      <w:r w:rsidR="001669E5" w:rsidRPr="001669E5">
        <w:t>may constitute a felony</w:t>
      </w:r>
      <w:r w:rsidR="00417414">
        <w:t>,” but a</w:t>
      </w:r>
      <w:r w:rsidR="001669E5" w:rsidRPr="001669E5">
        <w:t xml:space="preserve">ll acts enumerated in Subsection A of § 22.1-279.3:1 </w:t>
      </w:r>
      <w:proofErr w:type="gramStart"/>
      <w:r w:rsidR="001669E5" w:rsidRPr="001669E5">
        <w:t>may be reported</w:t>
      </w:r>
      <w:proofErr w:type="gramEnd"/>
      <w:r w:rsidR="001669E5" w:rsidRPr="001669E5">
        <w:t xml:space="preserve"> to law enforcement. </w:t>
      </w:r>
    </w:p>
    <w:p w14:paraId="5D2FAD5D" w14:textId="77777777" w:rsidR="00172268" w:rsidRDefault="00172268" w:rsidP="00172268">
      <w:pPr>
        <w:spacing w:after="0" w:line="240" w:lineRule="auto"/>
      </w:pPr>
    </w:p>
    <w:p w14:paraId="091ABCDA" w14:textId="77777777" w:rsidR="0055021A" w:rsidRDefault="00927916" w:rsidP="00172268">
      <w:pPr>
        <w:spacing w:after="0" w:line="240" w:lineRule="auto"/>
      </w:pPr>
      <w:r>
        <w:t>School divisions</w:t>
      </w:r>
      <w:r w:rsidR="00B81236">
        <w:t xml:space="preserve"> are encouraged to keep school safety in mind, while recognizing the negative impact of student contact with the juvenile justice system, when making decisions about referrals to law enforcement.</w:t>
      </w:r>
      <w:r w:rsidR="001669E5">
        <w:t xml:space="preserve"> </w:t>
      </w:r>
      <w:hyperlink r:id="rId13" w:history="1">
        <w:r w:rsidR="0055021A" w:rsidRPr="004B7B71">
          <w:rPr>
            <w:rStyle w:val="Hyperlink"/>
            <w:i/>
          </w:rPr>
          <w:t xml:space="preserve">The School Discipline </w:t>
        </w:r>
        <w:r w:rsidR="00E23E89" w:rsidRPr="004B7B71">
          <w:rPr>
            <w:rStyle w:val="Hyperlink"/>
            <w:i/>
          </w:rPr>
          <w:t>Consensus</w:t>
        </w:r>
        <w:r w:rsidR="0055021A" w:rsidRPr="004B7B71">
          <w:rPr>
            <w:rStyle w:val="Hyperlink"/>
            <w:i/>
          </w:rPr>
          <w:t xml:space="preserve"> Report</w:t>
        </w:r>
      </w:hyperlink>
      <w:r w:rsidR="0055021A">
        <w:t xml:space="preserve"> </w:t>
      </w:r>
      <w:r w:rsidR="00B218F6">
        <w:t>provides guidance that may be helpful in making those decisions. It states that:</w:t>
      </w:r>
    </w:p>
    <w:p w14:paraId="61CBB888" w14:textId="77777777" w:rsidR="00172268" w:rsidRDefault="00172268" w:rsidP="00172268">
      <w:pPr>
        <w:spacing w:after="0" w:line="240" w:lineRule="auto"/>
      </w:pPr>
    </w:p>
    <w:p w14:paraId="5F73223B" w14:textId="2245FCE6" w:rsidR="003D2018" w:rsidRPr="000771D5" w:rsidRDefault="003D2018" w:rsidP="00172268">
      <w:pPr>
        <w:spacing w:after="0" w:line="240" w:lineRule="auto"/>
        <w:ind w:left="720" w:right="720"/>
      </w:pPr>
      <w:r w:rsidRPr="000771D5">
        <w:t xml:space="preserve">Police </w:t>
      </w:r>
      <w:proofErr w:type="gramStart"/>
      <w:r w:rsidRPr="000771D5">
        <w:t>should not be engaged</w:t>
      </w:r>
      <w:proofErr w:type="gramEnd"/>
      <w:r w:rsidRPr="000771D5">
        <w:t xml:space="preserve"> in routine classroom management, and whenever possible should use alternatives to arrest for students’ minor offenses that can be appropriately addressed through the </w:t>
      </w:r>
      <w:r w:rsidR="000771D5" w:rsidRPr="000771D5">
        <w:t>schools</w:t>
      </w:r>
      <w:r w:rsidRPr="000771D5">
        <w:t xml:space="preserve"> discipline system</w:t>
      </w:r>
      <w:r w:rsidR="00D70549" w:rsidRPr="000771D5">
        <w:t>.</w:t>
      </w:r>
      <w:r w:rsidRPr="000771D5">
        <w:rPr>
          <w:rStyle w:val="FootnoteReference"/>
        </w:rPr>
        <w:footnoteReference w:id="1"/>
      </w:r>
      <w:r w:rsidRPr="000771D5">
        <w:t xml:space="preserve"> </w:t>
      </w:r>
    </w:p>
    <w:p w14:paraId="5EF50FB1" w14:textId="77777777" w:rsidR="00172268" w:rsidRPr="00172268" w:rsidRDefault="00172268" w:rsidP="00172268">
      <w:pPr>
        <w:spacing w:after="0" w:line="240" w:lineRule="auto"/>
        <w:ind w:left="720" w:right="720"/>
      </w:pPr>
    </w:p>
    <w:p w14:paraId="7A67E678" w14:textId="77777777" w:rsidR="00657A79" w:rsidRDefault="00B218F6" w:rsidP="007F385D">
      <w:pPr>
        <w:spacing w:after="0" w:line="240" w:lineRule="auto"/>
      </w:pPr>
      <w:r>
        <w:t>The Virginia legislative</w:t>
      </w:r>
      <w:r w:rsidR="00657A79">
        <w:t xml:space="preserve"> change </w:t>
      </w:r>
      <w:r w:rsidR="00E23E89">
        <w:t>provides an opportunity for</w:t>
      </w:r>
      <w:r w:rsidR="00657A79">
        <w:t xml:space="preserve"> school divisions </w:t>
      </w:r>
      <w:r w:rsidR="00E23E89">
        <w:t xml:space="preserve">to </w:t>
      </w:r>
      <w:r w:rsidR="00657A79">
        <w:t xml:space="preserve">review local policies related to when principals </w:t>
      </w:r>
      <w:r w:rsidR="00CE11FD">
        <w:t>should</w:t>
      </w:r>
      <w:r w:rsidR="00657A79">
        <w:t xml:space="preserve"> make a report </w:t>
      </w:r>
      <w:r w:rsidR="008606B6">
        <w:t xml:space="preserve">to law enforcement </w:t>
      </w:r>
      <w:r w:rsidR="00657A79">
        <w:t>regarding student behavior</w:t>
      </w:r>
      <w:r w:rsidR="008606B6">
        <w:t>.</w:t>
      </w:r>
      <w:r w:rsidR="00657A79">
        <w:t xml:space="preserve"> </w:t>
      </w:r>
      <w:r w:rsidR="00417414">
        <w:t>D</w:t>
      </w:r>
      <w:r w:rsidR="008606B6">
        <w:t xml:space="preserve">ivisions are encouraged to </w:t>
      </w:r>
      <w:r w:rsidR="00B81236">
        <w:t xml:space="preserve">work with </w:t>
      </w:r>
      <w:r w:rsidR="00417414">
        <w:t xml:space="preserve">legal counsel, </w:t>
      </w:r>
      <w:r w:rsidR="00B81236">
        <w:t xml:space="preserve">local law enforcement, juvenile justice representatives, parents, and community members to develop a process for determining when </w:t>
      </w:r>
      <w:r w:rsidR="00AC23E4">
        <w:t xml:space="preserve">a principal </w:t>
      </w:r>
      <w:r w:rsidR="00E23E89">
        <w:t xml:space="preserve">should </w:t>
      </w:r>
      <w:r w:rsidR="00AC23E4">
        <w:t xml:space="preserve">notify law enforcement of </w:t>
      </w:r>
      <w:r w:rsidR="00B81236">
        <w:t>a student’s behavior</w:t>
      </w:r>
      <w:r w:rsidR="00AC23E4">
        <w:t xml:space="preserve">. </w:t>
      </w:r>
      <w:r w:rsidR="008606B6">
        <w:t xml:space="preserve">That process should include determining </w:t>
      </w:r>
      <w:r w:rsidR="00417414">
        <w:t>which behaviors principals shall report</w:t>
      </w:r>
      <w:r w:rsidR="008606B6">
        <w:t xml:space="preserve"> and whether the school division’s </w:t>
      </w:r>
      <w:r w:rsidR="008E203D">
        <w:t xml:space="preserve">discipline sanctions, behavioral </w:t>
      </w:r>
      <w:r w:rsidR="008606B6">
        <w:t>interventions</w:t>
      </w:r>
      <w:r w:rsidR="006903C9">
        <w:t>,</w:t>
      </w:r>
      <w:r w:rsidR="008606B6">
        <w:t xml:space="preserve"> and </w:t>
      </w:r>
      <w:r w:rsidR="008E203D">
        <w:t xml:space="preserve">academic </w:t>
      </w:r>
      <w:r w:rsidR="008606B6">
        <w:t xml:space="preserve">supports </w:t>
      </w:r>
      <w:proofErr w:type="gramStart"/>
      <w:r w:rsidR="008606B6">
        <w:t>can be used</w:t>
      </w:r>
      <w:proofErr w:type="gramEnd"/>
      <w:r w:rsidR="008606B6">
        <w:t xml:space="preserve"> to address the student behavior. </w:t>
      </w:r>
      <w:r w:rsidR="006903C9">
        <w:t xml:space="preserve">Divisions are responsible for creating a process that ensures equity in referrals to law enforcement. </w:t>
      </w:r>
    </w:p>
    <w:p w14:paraId="7F017C61" w14:textId="50DE4CA8" w:rsidR="00417414" w:rsidRDefault="00417414" w:rsidP="00172268">
      <w:pPr>
        <w:spacing w:after="0" w:line="240" w:lineRule="auto"/>
      </w:pPr>
      <w:r>
        <w:lastRenderedPageBreak/>
        <w:t xml:space="preserve">The attached </w:t>
      </w:r>
      <w:r w:rsidR="000771D5">
        <w:t xml:space="preserve">chart </w:t>
      </w:r>
      <w:r w:rsidR="00172268">
        <w:t>(Attachment A)</w:t>
      </w:r>
      <w:r>
        <w:t xml:space="preserve"> provides </w:t>
      </w:r>
      <w:r w:rsidRPr="001669E5">
        <w:t xml:space="preserve">guidance </w:t>
      </w:r>
      <w:r>
        <w:t xml:space="preserve">for school divisions and </w:t>
      </w:r>
      <w:r w:rsidRPr="001669E5">
        <w:t xml:space="preserve">identifies behaviors that </w:t>
      </w:r>
      <w:r w:rsidR="00A018B4">
        <w:t xml:space="preserve">may </w:t>
      </w:r>
      <w:r w:rsidRPr="001669E5">
        <w:t xml:space="preserve">require reports </w:t>
      </w:r>
      <w:r>
        <w:t xml:space="preserve">to law enforcement </w:t>
      </w:r>
      <w:r w:rsidRPr="001669E5">
        <w:t xml:space="preserve">and those that </w:t>
      </w:r>
      <w:r w:rsidR="00927916">
        <w:t>may be optional</w:t>
      </w:r>
      <w:r w:rsidRPr="001669E5">
        <w:t>.</w:t>
      </w:r>
      <w:r>
        <w:t xml:space="preserve"> </w:t>
      </w:r>
      <w:r w:rsidR="00927916">
        <w:t xml:space="preserve">Regardless of whether the incident </w:t>
      </w:r>
      <w:proofErr w:type="gramStart"/>
      <w:r w:rsidR="00927916">
        <w:t>is reported</w:t>
      </w:r>
      <w:proofErr w:type="gramEnd"/>
      <w:r w:rsidR="00927916">
        <w:t xml:space="preserve">, any substances suspected of being drugs and any weapons confiscated should be turned over to law enforcement. </w:t>
      </w:r>
      <w:r w:rsidR="00357DD8">
        <w:t xml:space="preserve">All behaviors identified as “Persistently Dangerous” </w:t>
      </w:r>
      <w:proofErr w:type="gramStart"/>
      <w:r w:rsidR="00357DD8">
        <w:t>should be reported</w:t>
      </w:r>
      <w:proofErr w:type="gramEnd"/>
      <w:r w:rsidR="00357DD8">
        <w:t xml:space="preserve">. </w:t>
      </w:r>
      <w:r>
        <w:t xml:space="preserve">The </w:t>
      </w:r>
      <w:r w:rsidR="0083529F">
        <w:t xml:space="preserve">tables </w:t>
      </w:r>
      <w:r>
        <w:t xml:space="preserve">outline the behaviors enumerated in </w:t>
      </w:r>
      <w:r w:rsidRPr="001669E5">
        <w:rPr>
          <w:i/>
        </w:rPr>
        <w:t>Code</w:t>
      </w:r>
      <w:r w:rsidR="00927916">
        <w:rPr>
          <w:i/>
        </w:rPr>
        <w:t xml:space="preserve"> of Virginia</w:t>
      </w:r>
      <w:r w:rsidR="00831D9D">
        <w:rPr>
          <w:i/>
        </w:rPr>
        <w:t xml:space="preserve"> </w:t>
      </w:r>
      <w:r w:rsidR="00927916">
        <w:t>§ 22.1-279.3:1</w:t>
      </w:r>
      <w:r>
        <w:t xml:space="preserve">, along with the Discipline, Crime, and Violence (DCV) and the Student Behavior and Administrative Response (SBAR) </w:t>
      </w:r>
      <w:r w:rsidR="00927916">
        <w:t xml:space="preserve">data collection </w:t>
      </w:r>
      <w:r>
        <w:t>codes associated with those behaviors.</w:t>
      </w:r>
    </w:p>
    <w:p w14:paraId="770D9FED" w14:textId="77777777" w:rsidR="00172268" w:rsidRDefault="00172268" w:rsidP="00172268">
      <w:pPr>
        <w:spacing w:after="0" w:line="240" w:lineRule="auto"/>
      </w:pPr>
    </w:p>
    <w:p w14:paraId="60BD4FB1" w14:textId="0DC936E1" w:rsidR="00CE11FD" w:rsidRDefault="00CE11FD" w:rsidP="00F36EA1">
      <w:pPr>
        <w:spacing w:after="0" w:line="240" w:lineRule="auto"/>
      </w:pPr>
      <w:r>
        <w:t xml:space="preserve">For questions regarding the </w:t>
      </w:r>
      <w:r w:rsidRPr="00CE11FD">
        <w:rPr>
          <w:i/>
        </w:rPr>
        <w:t>Model Guidance for Positive and Preventative Code of Student Conduct and Alternatives to Suspension</w:t>
      </w:r>
      <w:r>
        <w:t xml:space="preserve">, you may contact Rebecca </w:t>
      </w:r>
      <w:proofErr w:type="spellStart"/>
      <w:r>
        <w:t>Kahila</w:t>
      </w:r>
      <w:proofErr w:type="spellEnd"/>
      <w:r w:rsidR="00F36EA1">
        <w:t>, School Safety and Discipline Specialist, Office of Student Services, by telephone at (804) 255- 4654, or by email</w:t>
      </w:r>
      <w:r>
        <w:t xml:space="preserve"> at </w:t>
      </w:r>
      <w:hyperlink r:id="rId14" w:history="1">
        <w:r w:rsidR="00F36EA1" w:rsidRPr="004B7B71">
          <w:rPr>
            <w:rStyle w:val="Hyperlink"/>
          </w:rPr>
          <w:t>Rebecca.Kahila@doe.virginia.gov</w:t>
        </w:r>
      </w:hyperlink>
      <w:r>
        <w:t>. For questions related to DCV</w:t>
      </w:r>
      <w:r w:rsidR="00B218F6">
        <w:t xml:space="preserve">, contact Brittney </w:t>
      </w:r>
      <w:proofErr w:type="spellStart"/>
      <w:r w:rsidR="00B218F6">
        <w:t>Kanard</w:t>
      </w:r>
      <w:proofErr w:type="spellEnd"/>
      <w:r w:rsidR="00B218F6">
        <w:t xml:space="preserve"> </w:t>
      </w:r>
      <w:r w:rsidR="004B7B71">
        <w:t xml:space="preserve">by email </w:t>
      </w:r>
      <w:r w:rsidR="00B218F6">
        <w:t xml:space="preserve">at </w:t>
      </w:r>
      <w:hyperlink r:id="rId15" w:history="1">
        <w:r w:rsidR="004B7B71" w:rsidRPr="004B7B71">
          <w:rPr>
            <w:rStyle w:val="Hyperlink"/>
          </w:rPr>
          <w:t>Brittney.Kanard@doe.virginia.gov</w:t>
        </w:r>
      </w:hyperlink>
      <w:r w:rsidR="00B218F6">
        <w:t xml:space="preserve">. </w:t>
      </w:r>
    </w:p>
    <w:p w14:paraId="59A7183C" w14:textId="77777777" w:rsidR="00F36EA1" w:rsidRPr="00F36EA1" w:rsidRDefault="00F36EA1" w:rsidP="00F36EA1">
      <w:pPr>
        <w:spacing w:after="0" w:line="240" w:lineRule="auto"/>
      </w:pPr>
    </w:p>
    <w:p w14:paraId="7A5994F4" w14:textId="77777777" w:rsidR="008C4A46" w:rsidRDefault="005E064F" w:rsidP="00F36EA1">
      <w:pPr>
        <w:spacing w:after="0"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927916">
        <w:rPr>
          <w:color w:val="000000"/>
          <w:szCs w:val="24"/>
        </w:rPr>
        <w:t>RCK</w:t>
      </w:r>
      <w:r w:rsidR="00172268">
        <w:rPr>
          <w:color w:val="000000"/>
          <w:szCs w:val="24"/>
        </w:rPr>
        <w:t>/</w:t>
      </w:r>
      <w:proofErr w:type="spellStart"/>
      <w:r w:rsidR="00172268">
        <w:rPr>
          <w:color w:val="000000"/>
          <w:szCs w:val="24"/>
        </w:rPr>
        <w:t>rge</w:t>
      </w:r>
      <w:proofErr w:type="spellEnd"/>
    </w:p>
    <w:p w14:paraId="59B448B4" w14:textId="77777777" w:rsidR="00F36EA1" w:rsidRPr="002F2AF8" w:rsidRDefault="00F36EA1" w:rsidP="00F36EA1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14:paraId="7456092A" w14:textId="7B2F9ADA" w:rsidR="00172268" w:rsidRPr="00F36EA1" w:rsidRDefault="00167950" w:rsidP="00172268">
      <w:pPr>
        <w:pStyle w:val="Heading3"/>
        <w:spacing w:after="0" w:line="240" w:lineRule="auto"/>
        <w:rPr>
          <w:b w:val="0"/>
          <w:sz w:val="24"/>
          <w:szCs w:val="24"/>
        </w:rPr>
      </w:pPr>
      <w:r w:rsidRPr="00F36EA1">
        <w:rPr>
          <w:b w:val="0"/>
          <w:sz w:val="24"/>
          <w:szCs w:val="24"/>
        </w:rPr>
        <w:t>Attachment</w:t>
      </w:r>
      <w:r w:rsidR="00927916" w:rsidRPr="00F36EA1">
        <w:rPr>
          <w:b w:val="0"/>
          <w:sz w:val="24"/>
          <w:szCs w:val="24"/>
        </w:rPr>
        <w:t xml:space="preserve">: </w:t>
      </w:r>
    </w:p>
    <w:p w14:paraId="23AA800E" w14:textId="77777777" w:rsidR="00172268" w:rsidRPr="00172268" w:rsidRDefault="00172268" w:rsidP="00F36EA1">
      <w:pPr>
        <w:spacing w:after="0" w:line="240" w:lineRule="auto"/>
      </w:pPr>
    </w:p>
    <w:p w14:paraId="5EFF4CDC" w14:textId="3FDB4956" w:rsidR="007C0B3F" w:rsidRPr="002F2AF8" w:rsidRDefault="00C70B32" w:rsidP="00030106">
      <w:pPr>
        <w:pStyle w:val="NoSpacing"/>
        <w:numPr>
          <w:ilvl w:val="0"/>
          <w:numId w:val="4"/>
        </w:numPr>
      </w:pPr>
      <w:hyperlink r:id="rId16" w:history="1">
        <w:r w:rsidR="00C436B9">
          <w:rPr>
            <w:rStyle w:val="Hyperlink"/>
          </w:rPr>
          <w:t>Guidance of Reports of Certain Acts to School Authorities</w:t>
        </w:r>
      </w:hyperlink>
      <w:r w:rsidR="00357DD8">
        <w:t xml:space="preserve"> </w:t>
      </w:r>
      <w:r w:rsidR="00172268" w:rsidRPr="00F36EA1">
        <w:t>(</w:t>
      </w:r>
      <w:r w:rsidR="000771D5">
        <w:t>W</w:t>
      </w:r>
      <w:r w:rsidR="00E12957">
        <w:t>ord</w:t>
      </w:r>
      <w:r w:rsidR="00172268" w:rsidRPr="00F36EA1">
        <w:t>)</w:t>
      </w:r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38E8A9" w16cid:durableId="2315E8FB"/>
  <w16cid:commentId w16cid:paraId="3CEA76D3" w16cid:durableId="2315EA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0153" w14:textId="77777777" w:rsidR="00C70B32" w:rsidRDefault="00C70B32" w:rsidP="00B25322">
      <w:pPr>
        <w:spacing w:after="0" w:line="240" w:lineRule="auto"/>
      </w:pPr>
      <w:r>
        <w:separator/>
      </w:r>
    </w:p>
  </w:endnote>
  <w:endnote w:type="continuationSeparator" w:id="0">
    <w:p w14:paraId="1CDBFD75" w14:textId="77777777" w:rsidR="00C70B32" w:rsidRDefault="00C70B32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274B" w14:textId="77777777" w:rsidR="00C70B32" w:rsidRDefault="00C70B32" w:rsidP="00B25322">
      <w:pPr>
        <w:spacing w:after="0" w:line="240" w:lineRule="auto"/>
      </w:pPr>
      <w:r>
        <w:separator/>
      </w:r>
    </w:p>
  </w:footnote>
  <w:footnote w:type="continuationSeparator" w:id="0">
    <w:p w14:paraId="58BFCF12" w14:textId="77777777" w:rsidR="00C70B32" w:rsidRDefault="00C70B32" w:rsidP="00B25322">
      <w:pPr>
        <w:spacing w:after="0" w:line="240" w:lineRule="auto"/>
      </w:pPr>
      <w:r>
        <w:continuationSeparator/>
      </w:r>
    </w:p>
  </w:footnote>
  <w:footnote w:id="1">
    <w:p w14:paraId="74911B62" w14:textId="77777777" w:rsidR="003D2018" w:rsidRPr="00172268" w:rsidRDefault="003D2018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172268">
        <w:rPr>
          <w:sz w:val="24"/>
          <w:szCs w:val="24"/>
        </w:rPr>
        <w:t xml:space="preserve">Morgan, E., Salomon, N., </w:t>
      </w:r>
      <w:proofErr w:type="spellStart"/>
      <w:r w:rsidRPr="00172268">
        <w:rPr>
          <w:sz w:val="24"/>
          <w:szCs w:val="24"/>
        </w:rPr>
        <w:t>Plotkin</w:t>
      </w:r>
      <w:proofErr w:type="spellEnd"/>
      <w:r w:rsidRPr="00172268">
        <w:rPr>
          <w:sz w:val="24"/>
          <w:szCs w:val="24"/>
        </w:rPr>
        <w:t>, M., and Cohen, R., The School Discipline Consensus Report: Strategies from the Field to Keep Students Engaged in School and Out of the Juvenile Justice System (New York: The Council of State Governments Justice Center, 2014).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51A"/>
    <w:multiLevelType w:val="hybridMultilevel"/>
    <w:tmpl w:val="E48A0BB2"/>
    <w:lvl w:ilvl="0" w:tplc="8E9A1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C43E85"/>
    <w:multiLevelType w:val="hybridMultilevel"/>
    <w:tmpl w:val="CBF289B2"/>
    <w:lvl w:ilvl="0" w:tplc="DA0EF47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B7537"/>
    <w:multiLevelType w:val="hybridMultilevel"/>
    <w:tmpl w:val="80DC208C"/>
    <w:lvl w:ilvl="0" w:tplc="FC5263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7C40"/>
    <w:rsid w:val="000158CE"/>
    <w:rsid w:val="00030106"/>
    <w:rsid w:val="00062952"/>
    <w:rsid w:val="000744F2"/>
    <w:rsid w:val="000771D5"/>
    <w:rsid w:val="00077C6E"/>
    <w:rsid w:val="000D7E9B"/>
    <w:rsid w:val="000E2D83"/>
    <w:rsid w:val="001669E5"/>
    <w:rsid w:val="00167950"/>
    <w:rsid w:val="00172268"/>
    <w:rsid w:val="001E1AC2"/>
    <w:rsid w:val="001F122D"/>
    <w:rsid w:val="001F4A89"/>
    <w:rsid w:val="00223595"/>
    <w:rsid w:val="00227B1E"/>
    <w:rsid w:val="00254146"/>
    <w:rsid w:val="002552E0"/>
    <w:rsid w:val="0027145D"/>
    <w:rsid w:val="002A6350"/>
    <w:rsid w:val="002F2AF8"/>
    <w:rsid w:val="002F2DAF"/>
    <w:rsid w:val="00307DB5"/>
    <w:rsid w:val="0031177E"/>
    <w:rsid w:val="003238EA"/>
    <w:rsid w:val="00357DD8"/>
    <w:rsid w:val="003D2018"/>
    <w:rsid w:val="00406FF4"/>
    <w:rsid w:val="00414707"/>
    <w:rsid w:val="00417414"/>
    <w:rsid w:val="00420934"/>
    <w:rsid w:val="00445283"/>
    <w:rsid w:val="00482919"/>
    <w:rsid w:val="004A097F"/>
    <w:rsid w:val="004B7B71"/>
    <w:rsid w:val="004F29EE"/>
    <w:rsid w:val="004F6547"/>
    <w:rsid w:val="00515B45"/>
    <w:rsid w:val="0055021A"/>
    <w:rsid w:val="005840A5"/>
    <w:rsid w:val="005A2C7E"/>
    <w:rsid w:val="005B74C3"/>
    <w:rsid w:val="005D00F0"/>
    <w:rsid w:val="005E064F"/>
    <w:rsid w:val="005E06EF"/>
    <w:rsid w:val="005E3BA6"/>
    <w:rsid w:val="00625A9B"/>
    <w:rsid w:val="00653DCC"/>
    <w:rsid w:val="00657A79"/>
    <w:rsid w:val="006903C9"/>
    <w:rsid w:val="006F488F"/>
    <w:rsid w:val="00707E5B"/>
    <w:rsid w:val="007176D3"/>
    <w:rsid w:val="00726AE8"/>
    <w:rsid w:val="0073236D"/>
    <w:rsid w:val="00740A51"/>
    <w:rsid w:val="00756255"/>
    <w:rsid w:val="00760DB9"/>
    <w:rsid w:val="00767E44"/>
    <w:rsid w:val="00781938"/>
    <w:rsid w:val="00793593"/>
    <w:rsid w:val="00795498"/>
    <w:rsid w:val="007A73B4"/>
    <w:rsid w:val="007C0454"/>
    <w:rsid w:val="007C0A10"/>
    <w:rsid w:val="007C0B3F"/>
    <w:rsid w:val="007C3E67"/>
    <w:rsid w:val="007F385D"/>
    <w:rsid w:val="007F6594"/>
    <w:rsid w:val="00806FED"/>
    <w:rsid w:val="00831D9D"/>
    <w:rsid w:val="0083529F"/>
    <w:rsid w:val="00851C0B"/>
    <w:rsid w:val="008606B6"/>
    <w:rsid w:val="008631A7"/>
    <w:rsid w:val="00897207"/>
    <w:rsid w:val="008C4A46"/>
    <w:rsid w:val="008E203D"/>
    <w:rsid w:val="00927916"/>
    <w:rsid w:val="00955349"/>
    <w:rsid w:val="00971EFA"/>
    <w:rsid w:val="00977AFA"/>
    <w:rsid w:val="00985876"/>
    <w:rsid w:val="009B1F8C"/>
    <w:rsid w:val="009B39DB"/>
    <w:rsid w:val="009B51FA"/>
    <w:rsid w:val="009C7253"/>
    <w:rsid w:val="009E38A6"/>
    <w:rsid w:val="00A018B4"/>
    <w:rsid w:val="00A2262A"/>
    <w:rsid w:val="00A26586"/>
    <w:rsid w:val="00A30BC9"/>
    <w:rsid w:val="00A3144F"/>
    <w:rsid w:val="00A65EE6"/>
    <w:rsid w:val="00A67B2F"/>
    <w:rsid w:val="00A73586"/>
    <w:rsid w:val="00A75809"/>
    <w:rsid w:val="00A81436"/>
    <w:rsid w:val="00AC23E4"/>
    <w:rsid w:val="00AE65FD"/>
    <w:rsid w:val="00B01E92"/>
    <w:rsid w:val="00B16F9D"/>
    <w:rsid w:val="00B218F6"/>
    <w:rsid w:val="00B25322"/>
    <w:rsid w:val="00B81236"/>
    <w:rsid w:val="00BC0BA1"/>
    <w:rsid w:val="00BC1A9C"/>
    <w:rsid w:val="00BE00E6"/>
    <w:rsid w:val="00C23584"/>
    <w:rsid w:val="00C25FA1"/>
    <w:rsid w:val="00C436B9"/>
    <w:rsid w:val="00C70B32"/>
    <w:rsid w:val="00C7611B"/>
    <w:rsid w:val="00C76F4E"/>
    <w:rsid w:val="00C902C9"/>
    <w:rsid w:val="00CA70A4"/>
    <w:rsid w:val="00CE11FD"/>
    <w:rsid w:val="00CE50C6"/>
    <w:rsid w:val="00CF0233"/>
    <w:rsid w:val="00D534B4"/>
    <w:rsid w:val="00D55B56"/>
    <w:rsid w:val="00D70549"/>
    <w:rsid w:val="00D95780"/>
    <w:rsid w:val="00DA0871"/>
    <w:rsid w:val="00DA14B1"/>
    <w:rsid w:val="00DD368F"/>
    <w:rsid w:val="00DE36A1"/>
    <w:rsid w:val="00E12957"/>
    <w:rsid w:val="00E12E2F"/>
    <w:rsid w:val="00E23E89"/>
    <w:rsid w:val="00E4085F"/>
    <w:rsid w:val="00E75FCE"/>
    <w:rsid w:val="00E760E6"/>
    <w:rsid w:val="00E8046F"/>
    <w:rsid w:val="00EA6BCB"/>
    <w:rsid w:val="00EC7B34"/>
    <w:rsid w:val="00ED79E7"/>
    <w:rsid w:val="00EF4732"/>
    <w:rsid w:val="00F36EA1"/>
    <w:rsid w:val="00F41943"/>
    <w:rsid w:val="00F44ECE"/>
    <w:rsid w:val="00F67215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33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4B7B71"/>
    <w:rPr>
      <w:rFonts w:ascii="Times New Roman" w:hAnsi="Times New Roman"/>
      <w:color w:val="0000FF" w:themeColor="hyperlink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0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01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01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3E8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36EA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C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3BA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csgjusticecenter.org/publications/school-disciplin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.lis.virginia.gov/vacode/22.1-279.3: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e.virginia.gov/administrators/superintendents_memos/2020/283-20a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s.virginia.gov/cgi-bin/legp604.exe?201+ful+CHAP01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ittney.Kanard@doe.virginia.gov" TargetMode="External"/><Relationship Id="rId10" Type="http://schemas.openxmlformats.org/officeDocument/2006/relationships/hyperlink" Target="https://lis.virginia.gov/cgi-bin/legp604.exe?201+ful+CHAP0335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Rebecca.Kahila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1A90-18EE-4575-833A-F938286D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#283-20</vt:lpstr>
    </vt:vector>
  </TitlesOfParts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#283-20</dc:title>
  <dc:creator/>
  <cp:lastModifiedBy/>
  <cp:revision>1</cp:revision>
  <dcterms:created xsi:type="dcterms:W3CDTF">2020-10-20T14:32:00Z</dcterms:created>
  <dcterms:modified xsi:type="dcterms:W3CDTF">2020-10-20T14:32:00Z</dcterms:modified>
</cp:coreProperties>
</file>