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D83576">
        <w:rPr>
          <w:szCs w:val="24"/>
        </w:rPr>
        <w:t>202-20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B24212">
        <w:rPr>
          <w:szCs w:val="24"/>
        </w:rPr>
        <w:t>August 7</w:t>
      </w:r>
      <w:r w:rsidR="00CE7AF9">
        <w:rPr>
          <w:szCs w:val="24"/>
        </w:rPr>
        <w:t>, 20</w:t>
      </w:r>
      <w:r w:rsidR="002F6937">
        <w:rPr>
          <w:szCs w:val="24"/>
        </w:rPr>
        <w:t>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CE7AF9">
      <w:pPr>
        <w:pStyle w:val="Heading2"/>
        <w:tabs>
          <w:tab w:val="left" w:pos="1800"/>
        </w:tabs>
        <w:ind w:left="1800" w:hanging="1800"/>
        <w:rPr>
          <w:szCs w:val="24"/>
        </w:rPr>
      </w:pPr>
      <w:r w:rsidRPr="002F2AF8">
        <w:rPr>
          <w:szCs w:val="24"/>
        </w:rPr>
        <w:t xml:space="preserve">SUBJECT: </w:t>
      </w:r>
      <w:r w:rsidR="00D95780" w:rsidRPr="002F2AF8">
        <w:rPr>
          <w:szCs w:val="24"/>
        </w:rPr>
        <w:tab/>
      </w:r>
      <w:r w:rsidR="00CE7AF9" w:rsidRPr="00CE7AF9">
        <w:rPr>
          <w:szCs w:val="24"/>
        </w:rPr>
        <w:t>20</w:t>
      </w:r>
      <w:r w:rsidR="00CF5DAF">
        <w:rPr>
          <w:szCs w:val="24"/>
        </w:rPr>
        <w:t>20</w:t>
      </w:r>
      <w:r w:rsidR="00CE7AF9" w:rsidRPr="00CE7AF9">
        <w:rPr>
          <w:szCs w:val="24"/>
        </w:rPr>
        <w:t>-202</w:t>
      </w:r>
      <w:r w:rsidR="00CF5DAF">
        <w:rPr>
          <w:szCs w:val="24"/>
        </w:rPr>
        <w:t>1</w:t>
      </w:r>
      <w:r w:rsidR="00CE7AF9" w:rsidRPr="00CE7AF9">
        <w:rPr>
          <w:szCs w:val="24"/>
        </w:rPr>
        <w:t xml:space="preserve"> Science, Technology, Engineering, and Mathematics (STEM) Teacher Recrui</w:t>
      </w:r>
      <w:r w:rsidR="00AF0EED">
        <w:rPr>
          <w:szCs w:val="24"/>
        </w:rPr>
        <w:t xml:space="preserve">tment and Retention Incentives </w:t>
      </w:r>
    </w:p>
    <w:p w:rsidR="00DE43DA" w:rsidRPr="00DE43DA" w:rsidRDefault="00DE43DA" w:rsidP="00DE43DA">
      <w:pPr>
        <w:spacing w:after="0" w:line="240" w:lineRule="auto"/>
        <w:rPr>
          <w:rFonts w:eastAsia="Calibri" w:cs="Times New Roman"/>
          <w:szCs w:val="24"/>
        </w:rPr>
      </w:pPr>
      <w:r w:rsidRPr="00DE43DA">
        <w:rPr>
          <w:rFonts w:eastAsia="Calibri" w:cs="Times New Roman"/>
          <w:szCs w:val="24"/>
        </w:rPr>
        <w:t>The 20</w:t>
      </w:r>
      <w:r w:rsidR="00CF5DAF">
        <w:rPr>
          <w:rFonts w:eastAsia="Calibri" w:cs="Times New Roman"/>
          <w:szCs w:val="24"/>
        </w:rPr>
        <w:t>20</w:t>
      </w:r>
      <w:r w:rsidRPr="00DE43DA">
        <w:rPr>
          <w:rFonts w:eastAsia="Calibri" w:cs="Times New Roman"/>
          <w:szCs w:val="24"/>
        </w:rPr>
        <w:t xml:space="preserve"> General Assembly appropriated funding to attract, recruit, and retain high-quality diverse individuals to teach science, technology, engineering, or mathematics (STEM) subjects in Virginia middle and high schools experiencing difficulty in recruiting qualified teachers.  Interested school divisions must submit to the Department of Education a </w:t>
      </w:r>
      <w:r w:rsidRPr="00DE43DA">
        <w:rPr>
          <w:rFonts w:eastAsia="Times New Roman" w:cs="Times New Roman"/>
          <w:szCs w:val="24"/>
        </w:rPr>
        <w:t>STEM Teacher Recruitment and Retention Initiatives (TRRI) A</w:t>
      </w:r>
      <w:r w:rsidRPr="00DE43DA">
        <w:rPr>
          <w:rFonts w:eastAsia="Calibri" w:cs="Times New Roman"/>
          <w:szCs w:val="24"/>
        </w:rPr>
        <w:t xml:space="preserve">pplication on </w:t>
      </w:r>
      <w:r w:rsidRPr="00DE43DA">
        <w:rPr>
          <w:rFonts w:eastAsia="Times New Roman" w:cs="Times New Roman"/>
          <w:szCs w:val="24"/>
        </w:rPr>
        <w:t xml:space="preserve">the Single Sign-on for Web Systems (SSWS) portal </w:t>
      </w:r>
      <w:r w:rsidRPr="00DE43DA">
        <w:rPr>
          <w:rFonts w:eastAsia="Calibri" w:cs="Times New Roman"/>
          <w:szCs w:val="24"/>
        </w:rPr>
        <w:t xml:space="preserve">and include the number of Biology, Chemistry, Earth Science, Mathematics, Mathematics-Algebra I, Middle Education 6-8: Mathematics, Middle Education 6-8: Science, Physics, </w:t>
      </w:r>
      <w:r w:rsidR="00DB7423">
        <w:rPr>
          <w:rFonts w:eastAsia="Calibri" w:cs="Times New Roman"/>
          <w:szCs w:val="24"/>
        </w:rPr>
        <w:t xml:space="preserve">Engineering, </w:t>
      </w:r>
      <w:r w:rsidRPr="00DE43DA">
        <w:rPr>
          <w:rFonts w:eastAsia="Calibri" w:cs="Times New Roman"/>
          <w:szCs w:val="24"/>
        </w:rPr>
        <w:t>or Technology Education vacancies by school. Priority for distribution of these incentives shall be to school divisions experiencing the most acute difficulties in recruiting qualified teachers, defined for this initiative as the overall free and reduced lunch rate of 40 percent on the 20</w:t>
      </w:r>
      <w:r w:rsidR="00CF5DAF">
        <w:rPr>
          <w:rFonts w:eastAsia="Calibri" w:cs="Times New Roman"/>
          <w:szCs w:val="24"/>
        </w:rPr>
        <w:t>19</w:t>
      </w:r>
      <w:r w:rsidRPr="00DE43DA">
        <w:rPr>
          <w:rFonts w:eastAsia="Calibri" w:cs="Times New Roman"/>
          <w:szCs w:val="24"/>
        </w:rPr>
        <w:t>-20</w:t>
      </w:r>
      <w:r w:rsidR="00CF5DAF">
        <w:rPr>
          <w:rFonts w:eastAsia="Calibri" w:cs="Times New Roman"/>
          <w:szCs w:val="24"/>
        </w:rPr>
        <w:t>20</w:t>
      </w:r>
      <w:r w:rsidRPr="00DE43DA">
        <w:rPr>
          <w:rFonts w:eastAsia="Calibri" w:cs="Times New Roman"/>
          <w:szCs w:val="24"/>
        </w:rPr>
        <w:t xml:space="preserve"> </w:t>
      </w:r>
      <w:hyperlink r:id="rId10" w:history="1">
        <w:r w:rsidRPr="00DE43DA">
          <w:rPr>
            <w:rFonts w:eastAsia="Calibri" w:cs="Times New Roman"/>
            <w:color w:val="0000FF"/>
            <w:szCs w:val="24"/>
            <w:u w:val="single"/>
          </w:rPr>
          <w:t>Free and Reduced Lunch Eligibility Report</w:t>
        </w:r>
      </w:hyperlink>
      <w:r w:rsidRPr="00DE43DA">
        <w:rPr>
          <w:rFonts w:eastAsia="Calibri" w:cs="Times New Roman"/>
          <w:szCs w:val="24"/>
        </w:rPr>
        <w:t xml:space="preserve">. </w:t>
      </w:r>
    </w:p>
    <w:p w:rsidR="00DE43DA" w:rsidRPr="00DE43DA" w:rsidRDefault="00DE43DA" w:rsidP="00DE43DA">
      <w:pPr>
        <w:spacing w:after="0" w:line="240" w:lineRule="auto"/>
        <w:rPr>
          <w:rFonts w:eastAsia="Calibri" w:cs="Times New Roman"/>
          <w:szCs w:val="24"/>
        </w:rPr>
      </w:pPr>
      <w:r w:rsidRPr="00DE43DA">
        <w:rPr>
          <w:rFonts w:eastAsia="Calibri" w:cs="Times New Roman"/>
          <w:szCs w:val="24"/>
        </w:rPr>
        <w:t xml:space="preserve">  </w:t>
      </w:r>
    </w:p>
    <w:p w:rsidR="00DE43DA" w:rsidRPr="00DE43DA" w:rsidRDefault="00DE43DA" w:rsidP="00DE43DA">
      <w:pPr>
        <w:spacing w:after="0" w:line="240" w:lineRule="auto"/>
        <w:rPr>
          <w:rFonts w:eastAsia="Calibri" w:cs="Times New Roman"/>
          <w:szCs w:val="24"/>
        </w:rPr>
      </w:pPr>
      <w:r w:rsidRPr="00DE43DA">
        <w:rPr>
          <w:rFonts w:eastAsia="Calibri" w:cs="Times New Roman"/>
          <w:szCs w:val="24"/>
        </w:rPr>
        <w:t xml:space="preserve">School divisions approved for funding shall advertise the incentive for eligible vacancies and award such funds to eligible teachers after teachers have met all requirements. For a teacher to be eligible, he or she must be employed full time in a hard-to-staff Virginia school. Hard-to-staff shall be defined for this initiative as any school having </w:t>
      </w:r>
      <w:r w:rsidRPr="00DB7423">
        <w:rPr>
          <w:rFonts w:eastAsia="Calibri" w:cs="Times New Roman"/>
          <w:szCs w:val="24"/>
        </w:rPr>
        <w:t>40 percent</w:t>
      </w:r>
      <w:r w:rsidRPr="00DE43DA">
        <w:rPr>
          <w:rFonts w:eastAsia="Calibri" w:cs="Times New Roman"/>
          <w:szCs w:val="24"/>
        </w:rPr>
        <w:t xml:space="preserve"> or more students eligible for free and reduced lunch as reported on the 201</w:t>
      </w:r>
      <w:r w:rsidR="00CF5DAF">
        <w:rPr>
          <w:rFonts w:eastAsia="Calibri" w:cs="Times New Roman"/>
          <w:szCs w:val="24"/>
        </w:rPr>
        <w:t>9</w:t>
      </w:r>
      <w:r w:rsidRPr="00DE43DA">
        <w:rPr>
          <w:rFonts w:eastAsia="Calibri" w:cs="Times New Roman"/>
          <w:szCs w:val="24"/>
        </w:rPr>
        <w:t>-20</w:t>
      </w:r>
      <w:r w:rsidR="00CF5DAF">
        <w:rPr>
          <w:rFonts w:eastAsia="Calibri" w:cs="Times New Roman"/>
          <w:szCs w:val="24"/>
        </w:rPr>
        <w:t>20</w:t>
      </w:r>
      <w:r w:rsidRPr="00DE43DA">
        <w:rPr>
          <w:rFonts w:eastAsia="Calibri" w:cs="Times New Roman"/>
          <w:szCs w:val="24"/>
        </w:rPr>
        <w:t xml:space="preserve"> </w:t>
      </w:r>
      <w:hyperlink r:id="rId11" w:history="1">
        <w:r w:rsidRPr="00DE43DA">
          <w:rPr>
            <w:rFonts w:eastAsia="Calibri" w:cs="Times New Roman"/>
            <w:color w:val="0000FF"/>
            <w:szCs w:val="24"/>
            <w:u w:val="single"/>
          </w:rPr>
          <w:t>Free and Reduced Lunch Eligibility Report</w:t>
        </w:r>
      </w:hyperlink>
      <w:r w:rsidRPr="00DE43DA">
        <w:rPr>
          <w:rFonts w:eastAsia="Calibri" w:cs="Times New Roman"/>
          <w:szCs w:val="24"/>
        </w:rPr>
        <w:t>. To be eligible, a teacher also must have an active five or ten-year renewable Virginia teaching license with one or more of the following endorsements</w:t>
      </w:r>
      <w:r w:rsidRPr="00DE43DA">
        <w:rPr>
          <w:rFonts w:ascii="Calibri" w:eastAsia="Calibri" w:hAnsi="Calibri" w:cs="Times New Roman"/>
          <w:sz w:val="22"/>
        </w:rPr>
        <w:t xml:space="preserve"> </w:t>
      </w:r>
      <w:r w:rsidRPr="00DE43DA">
        <w:rPr>
          <w:rFonts w:eastAsia="Calibri" w:cs="Times New Roman"/>
          <w:szCs w:val="24"/>
        </w:rPr>
        <w:t>and assigned to a teaching position in a corresponding STEM subject area:</w:t>
      </w:r>
    </w:p>
    <w:p w:rsidR="00DE43DA" w:rsidRPr="00DE43DA" w:rsidRDefault="00DE43DA" w:rsidP="00DE43DA">
      <w:pPr>
        <w:spacing w:after="0" w:line="240" w:lineRule="auto"/>
        <w:contextualSpacing/>
        <w:rPr>
          <w:rFonts w:eastAsia="Calibri" w:cs="Times New Roman"/>
          <w:szCs w:val="24"/>
        </w:rPr>
      </w:pPr>
    </w:p>
    <w:p w:rsidR="00DE43DA" w:rsidRPr="00DB7423" w:rsidRDefault="00DE43DA" w:rsidP="00DE43DA">
      <w:pPr>
        <w:numPr>
          <w:ilvl w:val="0"/>
          <w:numId w:val="2"/>
        </w:numPr>
        <w:spacing w:after="0" w:line="240" w:lineRule="auto"/>
        <w:contextualSpacing/>
        <w:rPr>
          <w:rFonts w:eastAsia="Calibri" w:cs="Times New Roman"/>
          <w:szCs w:val="24"/>
        </w:rPr>
      </w:pPr>
      <w:r w:rsidRPr="00DB7423">
        <w:rPr>
          <w:rFonts w:eastAsia="Calibri" w:cs="Times New Roman"/>
          <w:szCs w:val="24"/>
        </w:rPr>
        <w:t xml:space="preserve">Biology; </w:t>
      </w:r>
    </w:p>
    <w:p w:rsidR="00DE43DA" w:rsidRPr="00DB7423" w:rsidRDefault="00DE43DA" w:rsidP="00DE43DA">
      <w:pPr>
        <w:numPr>
          <w:ilvl w:val="0"/>
          <w:numId w:val="2"/>
        </w:numPr>
        <w:spacing w:after="0" w:line="240" w:lineRule="auto"/>
        <w:contextualSpacing/>
        <w:rPr>
          <w:rFonts w:eastAsia="Calibri" w:cs="Times New Roman"/>
          <w:szCs w:val="24"/>
        </w:rPr>
      </w:pPr>
      <w:r w:rsidRPr="00DB7423">
        <w:rPr>
          <w:rFonts w:eastAsia="Calibri" w:cs="Times New Roman"/>
          <w:szCs w:val="24"/>
        </w:rPr>
        <w:t xml:space="preserve">Chemistry; </w:t>
      </w:r>
    </w:p>
    <w:p w:rsidR="00DE43DA" w:rsidRPr="00DB7423" w:rsidRDefault="00DE43DA" w:rsidP="00DE43DA">
      <w:pPr>
        <w:numPr>
          <w:ilvl w:val="0"/>
          <w:numId w:val="2"/>
        </w:numPr>
        <w:spacing w:after="0" w:line="240" w:lineRule="auto"/>
        <w:contextualSpacing/>
        <w:rPr>
          <w:rFonts w:eastAsia="Calibri" w:cs="Times New Roman"/>
          <w:szCs w:val="24"/>
        </w:rPr>
      </w:pPr>
      <w:r w:rsidRPr="00DB7423">
        <w:rPr>
          <w:rFonts w:eastAsia="Calibri" w:cs="Times New Roman"/>
          <w:szCs w:val="24"/>
        </w:rPr>
        <w:t xml:space="preserve">Earth </w:t>
      </w:r>
      <w:r w:rsidR="003B25E4" w:rsidRPr="00DB7423">
        <w:rPr>
          <w:rFonts w:eastAsia="Calibri" w:cs="Times New Roman"/>
          <w:szCs w:val="24"/>
        </w:rPr>
        <w:t>Science</w:t>
      </w:r>
      <w:r w:rsidRPr="00DB7423">
        <w:rPr>
          <w:rFonts w:eastAsia="Calibri" w:cs="Times New Roman"/>
          <w:szCs w:val="24"/>
        </w:rPr>
        <w:t xml:space="preserve">; </w:t>
      </w:r>
    </w:p>
    <w:p w:rsidR="00DE43DA" w:rsidRPr="00DB7423" w:rsidRDefault="00DE43DA" w:rsidP="00DE43DA">
      <w:pPr>
        <w:numPr>
          <w:ilvl w:val="0"/>
          <w:numId w:val="2"/>
        </w:numPr>
        <w:spacing w:after="0" w:line="240" w:lineRule="auto"/>
        <w:contextualSpacing/>
        <w:rPr>
          <w:rFonts w:eastAsia="Calibri" w:cs="Times New Roman"/>
          <w:szCs w:val="24"/>
        </w:rPr>
      </w:pPr>
      <w:r w:rsidRPr="00DB7423">
        <w:rPr>
          <w:rFonts w:eastAsia="Calibri" w:cs="Times New Roman"/>
          <w:szCs w:val="24"/>
        </w:rPr>
        <w:t>Mathematics;</w:t>
      </w:r>
    </w:p>
    <w:p w:rsidR="00DE43DA" w:rsidRPr="00DB7423" w:rsidRDefault="00DE43DA" w:rsidP="00DE43DA">
      <w:pPr>
        <w:numPr>
          <w:ilvl w:val="0"/>
          <w:numId w:val="2"/>
        </w:numPr>
        <w:spacing w:after="0" w:line="240" w:lineRule="auto"/>
        <w:contextualSpacing/>
        <w:rPr>
          <w:rFonts w:eastAsia="Calibri" w:cs="Times New Roman"/>
          <w:szCs w:val="24"/>
        </w:rPr>
      </w:pPr>
      <w:r w:rsidRPr="00DB7423">
        <w:rPr>
          <w:rFonts w:eastAsia="Calibri" w:cs="Times New Roman"/>
          <w:szCs w:val="24"/>
        </w:rPr>
        <w:t xml:space="preserve">Mathematics-Algebra I; </w:t>
      </w:r>
    </w:p>
    <w:p w:rsidR="00DE43DA" w:rsidRPr="00DB7423" w:rsidRDefault="00DE43DA" w:rsidP="00DE43DA">
      <w:pPr>
        <w:numPr>
          <w:ilvl w:val="0"/>
          <w:numId w:val="2"/>
        </w:numPr>
        <w:spacing w:after="0" w:line="240" w:lineRule="auto"/>
        <w:contextualSpacing/>
        <w:rPr>
          <w:rFonts w:eastAsia="Calibri" w:cs="Times New Roman"/>
          <w:szCs w:val="24"/>
        </w:rPr>
      </w:pPr>
      <w:r w:rsidRPr="00DB7423">
        <w:rPr>
          <w:rFonts w:eastAsia="Calibri" w:cs="Times New Roman"/>
          <w:szCs w:val="24"/>
        </w:rPr>
        <w:t>Middle Education 6-8: Mathematics;</w:t>
      </w:r>
    </w:p>
    <w:p w:rsidR="00DE43DA" w:rsidRPr="00DB7423" w:rsidRDefault="00DE43DA" w:rsidP="00DE43DA">
      <w:pPr>
        <w:numPr>
          <w:ilvl w:val="0"/>
          <w:numId w:val="2"/>
        </w:numPr>
        <w:spacing w:after="0" w:line="240" w:lineRule="auto"/>
        <w:contextualSpacing/>
        <w:rPr>
          <w:rFonts w:eastAsia="Calibri" w:cs="Times New Roman"/>
          <w:szCs w:val="24"/>
        </w:rPr>
      </w:pPr>
      <w:r w:rsidRPr="00DB7423">
        <w:rPr>
          <w:rFonts w:eastAsia="Calibri" w:cs="Times New Roman"/>
          <w:szCs w:val="24"/>
        </w:rPr>
        <w:lastRenderedPageBreak/>
        <w:t xml:space="preserve">Middle Education 6-8: Science; </w:t>
      </w:r>
    </w:p>
    <w:p w:rsidR="003B25E4" w:rsidRPr="00DB7423" w:rsidRDefault="00DE43DA" w:rsidP="00DE43DA">
      <w:pPr>
        <w:numPr>
          <w:ilvl w:val="0"/>
          <w:numId w:val="2"/>
        </w:numPr>
        <w:spacing w:after="0" w:line="240" w:lineRule="auto"/>
        <w:contextualSpacing/>
        <w:rPr>
          <w:rFonts w:eastAsia="Calibri" w:cs="Times New Roman"/>
          <w:szCs w:val="24"/>
        </w:rPr>
      </w:pPr>
      <w:r w:rsidRPr="00DB7423">
        <w:rPr>
          <w:rFonts w:eastAsia="Calibri" w:cs="Times New Roman"/>
          <w:szCs w:val="24"/>
        </w:rPr>
        <w:t xml:space="preserve">Physics; </w:t>
      </w:r>
    </w:p>
    <w:p w:rsidR="00DE43DA" w:rsidRPr="00DB7423" w:rsidRDefault="003B25E4" w:rsidP="00DE43DA">
      <w:pPr>
        <w:numPr>
          <w:ilvl w:val="0"/>
          <w:numId w:val="2"/>
        </w:numPr>
        <w:spacing w:after="0" w:line="240" w:lineRule="auto"/>
        <w:contextualSpacing/>
        <w:rPr>
          <w:rFonts w:eastAsia="Calibri" w:cs="Times New Roman"/>
          <w:szCs w:val="24"/>
        </w:rPr>
      </w:pPr>
      <w:r w:rsidRPr="00DB7423">
        <w:rPr>
          <w:rFonts w:eastAsia="Calibri" w:cs="Times New Roman"/>
          <w:szCs w:val="24"/>
        </w:rPr>
        <w:t xml:space="preserve">Engineering; </w:t>
      </w:r>
      <w:r w:rsidR="00DE43DA" w:rsidRPr="00DB7423">
        <w:rPr>
          <w:rFonts w:eastAsia="Calibri" w:cs="Times New Roman"/>
          <w:szCs w:val="24"/>
        </w:rPr>
        <w:t xml:space="preserve">or </w:t>
      </w:r>
    </w:p>
    <w:p w:rsidR="00DE43DA" w:rsidRPr="00DB7423" w:rsidRDefault="00DE43DA" w:rsidP="00DE43DA">
      <w:pPr>
        <w:numPr>
          <w:ilvl w:val="0"/>
          <w:numId w:val="2"/>
        </w:numPr>
        <w:spacing w:after="0" w:line="240" w:lineRule="auto"/>
        <w:contextualSpacing/>
        <w:rPr>
          <w:rFonts w:eastAsia="Calibri" w:cs="Times New Roman"/>
          <w:szCs w:val="24"/>
        </w:rPr>
      </w:pPr>
      <w:r w:rsidRPr="00DB7423">
        <w:rPr>
          <w:rFonts w:eastAsia="Calibri" w:cs="Times New Roman"/>
          <w:szCs w:val="24"/>
        </w:rPr>
        <w:t xml:space="preserve">Technology Education. </w:t>
      </w:r>
    </w:p>
    <w:p w:rsidR="00DE43DA" w:rsidRPr="00DE43DA" w:rsidRDefault="00DE43DA" w:rsidP="00DE43DA">
      <w:pPr>
        <w:spacing w:before="100" w:beforeAutospacing="1" w:after="100" w:afterAutospacing="1" w:line="240" w:lineRule="auto"/>
        <w:rPr>
          <w:rFonts w:eastAsia="Times New Roman" w:cs="Times New Roman"/>
          <w:b/>
          <w:szCs w:val="24"/>
        </w:rPr>
      </w:pPr>
      <w:r w:rsidRPr="00DE43DA">
        <w:rPr>
          <w:rFonts w:eastAsia="Calibri" w:cs="Times New Roman"/>
          <w:szCs w:val="24"/>
        </w:rPr>
        <w:t xml:space="preserve">An eligible teacher will receive a </w:t>
      </w:r>
      <w:r w:rsidRPr="00DB7423">
        <w:rPr>
          <w:rFonts w:eastAsia="Calibri" w:cs="Times New Roman"/>
          <w:szCs w:val="24"/>
        </w:rPr>
        <w:t>$5,000</w:t>
      </w:r>
      <w:r w:rsidRPr="00DE43DA">
        <w:rPr>
          <w:rFonts w:eastAsia="Calibri" w:cs="Times New Roman"/>
          <w:szCs w:val="24"/>
        </w:rPr>
        <w:t xml:space="preserve"> incentive award </w:t>
      </w:r>
      <w:r w:rsidRPr="00DE43DA">
        <w:rPr>
          <w:rFonts w:eastAsia="Calibri" w:cs="Times New Roman"/>
          <w:szCs w:val="24"/>
          <w:u w:val="single"/>
        </w:rPr>
        <w:t>after</w:t>
      </w:r>
      <w:r w:rsidRPr="00DE43DA">
        <w:rPr>
          <w:rFonts w:eastAsia="Calibri" w:cs="Times New Roman"/>
          <w:szCs w:val="24"/>
        </w:rPr>
        <w:t xml:space="preserve"> the completion of the first, second, and third years of teaching STEM at a hard-to-staff school with a satisfactory performance evaluation and a signed contract in the same school division for the following school year. </w:t>
      </w:r>
      <w:r w:rsidRPr="00DE43DA">
        <w:rPr>
          <w:rFonts w:eastAsia="Calibri" w:cs="Times New Roman"/>
          <w:b/>
          <w:szCs w:val="24"/>
        </w:rPr>
        <w:t>The maximum incentive award for each eligible teacher is $15,000</w:t>
      </w:r>
      <w:r w:rsidRPr="00DE43DA">
        <w:rPr>
          <w:rFonts w:eastAsia="Calibri" w:cs="Times New Roman"/>
          <w:szCs w:val="24"/>
        </w:rPr>
        <w:t>. The incentive awards are taxable to the recipient, and the school division is responsible for ensur</w:t>
      </w:r>
      <w:r w:rsidR="00B24212">
        <w:rPr>
          <w:rFonts w:eastAsia="Calibri" w:cs="Times New Roman"/>
          <w:szCs w:val="24"/>
        </w:rPr>
        <w:t xml:space="preserve">ing all taxes are remitted. </w:t>
      </w:r>
      <w:r w:rsidR="00B24212" w:rsidRPr="00B24212">
        <w:rPr>
          <w:rFonts w:eastAsia="Calibri" w:cs="Times New Roman"/>
          <w:szCs w:val="24"/>
        </w:rPr>
        <w:t>The</w:t>
      </w:r>
      <w:r w:rsidR="00B24212">
        <w:rPr>
          <w:rFonts w:eastAsia="Calibri" w:cs="Times New Roman"/>
          <w:b/>
          <w:szCs w:val="24"/>
        </w:rPr>
        <w:t xml:space="preserve"> </w:t>
      </w:r>
      <w:r w:rsidRPr="00DE43DA">
        <w:rPr>
          <w:rFonts w:eastAsia="Calibri" w:cs="Times New Roman"/>
          <w:b/>
          <w:szCs w:val="24"/>
        </w:rPr>
        <w:t xml:space="preserve">STEM Teacher Recruitment and Retention Incentives </w:t>
      </w:r>
      <w:r w:rsidR="00B24212" w:rsidRPr="00B24212">
        <w:rPr>
          <w:rFonts w:eastAsia="Calibri" w:cs="Times New Roman"/>
          <w:szCs w:val="24"/>
        </w:rPr>
        <w:t>anticipated vacancy data</w:t>
      </w:r>
      <w:r w:rsidR="00B24212">
        <w:rPr>
          <w:rFonts w:eastAsia="Calibri" w:cs="Times New Roman"/>
          <w:szCs w:val="24"/>
        </w:rPr>
        <w:t xml:space="preserve"> for school year 2020-2021</w:t>
      </w:r>
      <w:r w:rsidR="00B24212" w:rsidRPr="00B24212">
        <w:rPr>
          <w:rFonts w:eastAsia="Calibri" w:cs="Times New Roman"/>
          <w:szCs w:val="24"/>
        </w:rPr>
        <w:t xml:space="preserve"> </w:t>
      </w:r>
      <w:r w:rsidRPr="00DE43DA">
        <w:rPr>
          <w:rFonts w:eastAsia="Calibri" w:cs="Times New Roman"/>
          <w:szCs w:val="24"/>
        </w:rPr>
        <w:t>must be</w:t>
      </w:r>
      <w:r w:rsidRPr="00DE43DA">
        <w:rPr>
          <w:rFonts w:eastAsia="Calibri" w:cs="Times New Roman"/>
          <w:b/>
          <w:szCs w:val="24"/>
        </w:rPr>
        <w:t xml:space="preserve"> </w:t>
      </w:r>
      <w:r w:rsidRPr="00DE43DA">
        <w:rPr>
          <w:rFonts w:eastAsia="Times New Roman" w:cs="Times New Roman"/>
          <w:szCs w:val="24"/>
        </w:rPr>
        <w:t xml:space="preserve">submitted by </w:t>
      </w:r>
      <w:r w:rsidRPr="00DB7423">
        <w:rPr>
          <w:rFonts w:eastAsia="Times New Roman" w:cs="Times New Roman"/>
          <w:b/>
          <w:szCs w:val="24"/>
        </w:rPr>
        <w:t xml:space="preserve">Wednesday, </w:t>
      </w:r>
      <w:r w:rsidR="00B24212">
        <w:rPr>
          <w:rFonts w:eastAsia="Times New Roman" w:cs="Times New Roman"/>
          <w:b/>
          <w:szCs w:val="24"/>
        </w:rPr>
        <w:t>September 9</w:t>
      </w:r>
      <w:r w:rsidR="00B95074" w:rsidRPr="00DB7423">
        <w:rPr>
          <w:rFonts w:eastAsia="Times New Roman" w:cs="Times New Roman"/>
          <w:b/>
          <w:szCs w:val="24"/>
        </w:rPr>
        <w:t>, 2020</w:t>
      </w:r>
      <w:r w:rsidRPr="00DB7423">
        <w:rPr>
          <w:rFonts w:eastAsia="Times New Roman" w:cs="Times New Roman"/>
          <w:szCs w:val="24"/>
        </w:rPr>
        <w:t>,</w:t>
      </w:r>
      <w:r w:rsidRPr="00DE43DA">
        <w:rPr>
          <w:rFonts w:eastAsia="Times New Roman" w:cs="Times New Roman"/>
          <w:szCs w:val="24"/>
        </w:rPr>
        <w:t xml:space="preserve"> on the SSWS portal.  Each school division has an SSWS account manager who can provide your staff member, designated to serve as your STEM Teacher Recruitment and Retention Incentives contact, access to the TRRI application. Instructions </w:t>
      </w:r>
      <w:r w:rsidR="00B24212">
        <w:rPr>
          <w:rFonts w:eastAsia="Times New Roman" w:cs="Times New Roman"/>
          <w:szCs w:val="24"/>
        </w:rPr>
        <w:t>for entering and submitting the anticipated vacancies</w:t>
      </w:r>
      <w:r w:rsidRPr="00DE43DA">
        <w:rPr>
          <w:rFonts w:eastAsia="Times New Roman" w:cs="Times New Roman"/>
          <w:szCs w:val="24"/>
        </w:rPr>
        <w:t xml:space="preserve"> are available online as part of the TRRI STEM Grant Application. </w:t>
      </w:r>
      <w:r w:rsidRPr="00DE43DA">
        <w:rPr>
          <w:rFonts w:eastAsia="Times New Roman" w:cs="Times New Roman"/>
          <w:b/>
          <w:szCs w:val="24"/>
        </w:rPr>
        <w:t xml:space="preserve">Divisions no longer are to submit hard copies of the application to the Virginia Department of Education. </w:t>
      </w:r>
    </w:p>
    <w:p w:rsidR="00DE43DA" w:rsidRPr="00DE43DA" w:rsidRDefault="00320D49" w:rsidP="00DE43DA">
      <w:pPr>
        <w:spacing w:after="0" w:line="240" w:lineRule="auto"/>
        <w:contextualSpacing/>
        <w:rPr>
          <w:rFonts w:eastAsia="Calibri" w:cs="Times New Roman"/>
          <w:szCs w:val="24"/>
        </w:rPr>
      </w:pPr>
      <w:r w:rsidRPr="00DE43DA">
        <w:rPr>
          <w:rFonts w:eastAsia="Calibri" w:cs="Times New Roman"/>
          <w:szCs w:val="24"/>
        </w:rPr>
        <w:t>Please note</w:t>
      </w:r>
      <w:r>
        <w:rPr>
          <w:rFonts w:eastAsia="Calibri" w:cs="Times New Roman"/>
          <w:szCs w:val="24"/>
        </w:rPr>
        <w:t>, f</w:t>
      </w:r>
      <w:r w:rsidR="003B25E4">
        <w:rPr>
          <w:rFonts w:eastAsia="Calibri" w:cs="Times New Roman"/>
          <w:szCs w:val="24"/>
        </w:rPr>
        <w:t>or the purpose of the award of the additional $1,000 to individu</w:t>
      </w:r>
      <w:r w:rsidR="00DB7423">
        <w:rPr>
          <w:rFonts w:eastAsia="Calibri" w:cs="Times New Roman"/>
          <w:szCs w:val="24"/>
        </w:rPr>
        <w:t>als who received funds under this</w:t>
      </w:r>
      <w:r w:rsidR="003B25E4">
        <w:rPr>
          <w:rFonts w:eastAsia="Calibri" w:cs="Times New Roman"/>
          <w:szCs w:val="24"/>
        </w:rPr>
        <w:t xml:space="preserve"> program prior to July 1, 2018</w:t>
      </w:r>
      <w:r w:rsidR="006300B6">
        <w:rPr>
          <w:rFonts w:eastAsia="Calibri" w:cs="Times New Roman"/>
          <w:szCs w:val="24"/>
        </w:rPr>
        <w:t>, the criteria provided in Chapter 1</w:t>
      </w:r>
      <w:r w:rsidR="00DB7423">
        <w:rPr>
          <w:rFonts w:eastAsia="Calibri" w:cs="Times New Roman"/>
          <w:szCs w:val="24"/>
        </w:rPr>
        <w:t xml:space="preserve"> of the</w:t>
      </w:r>
      <w:r w:rsidR="006300B6">
        <w:rPr>
          <w:rFonts w:eastAsia="Calibri" w:cs="Times New Roman"/>
          <w:szCs w:val="24"/>
        </w:rPr>
        <w:t xml:space="preserve"> 2018 Acts of Assembly, Special Session 1, </w:t>
      </w:r>
      <w:r w:rsidR="00DB7423">
        <w:rPr>
          <w:rFonts w:eastAsia="Calibri" w:cs="Times New Roman"/>
          <w:szCs w:val="24"/>
        </w:rPr>
        <w:t>wi</w:t>
      </w:r>
      <w:r w:rsidR="006300B6">
        <w:rPr>
          <w:rFonts w:eastAsia="Calibri" w:cs="Times New Roman"/>
          <w:szCs w:val="24"/>
        </w:rPr>
        <w:t>ll continue to apply through fiscal year 2021. In addition,</w:t>
      </w:r>
      <w:r w:rsidR="00DE43DA" w:rsidRPr="00DE43DA">
        <w:rPr>
          <w:rFonts w:eastAsia="Calibri" w:cs="Times New Roman"/>
          <w:szCs w:val="24"/>
        </w:rPr>
        <w:t xml:space="preserve"> </w:t>
      </w:r>
      <w:r w:rsidR="00DB7423">
        <w:rPr>
          <w:rFonts w:eastAsia="Calibri" w:cs="Times New Roman"/>
          <w:szCs w:val="24"/>
        </w:rPr>
        <w:t xml:space="preserve">for individuals who received funds under this program prior to July 1, 2020, the criteria </w:t>
      </w:r>
      <w:r w:rsidR="00DE43DA" w:rsidRPr="00DE43DA">
        <w:rPr>
          <w:rFonts w:eastAsia="Calibri" w:cs="Times New Roman"/>
          <w:szCs w:val="24"/>
        </w:rPr>
        <w:t>provided in Chapter 836 of the 201</w:t>
      </w:r>
      <w:r w:rsidR="00DB7423">
        <w:rPr>
          <w:rFonts w:eastAsia="Calibri" w:cs="Times New Roman"/>
          <w:szCs w:val="24"/>
        </w:rPr>
        <w:t>9</w:t>
      </w:r>
      <w:r w:rsidR="00DE43DA" w:rsidRPr="00DE43DA">
        <w:rPr>
          <w:rFonts w:eastAsia="Calibri" w:cs="Times New Roman"/>
          <w:szCs w:val="24"/>
        </w:rPr>
        <w:t xml:space="preserve"> Acts of Assembly</w:t>
      </w:r>
      <w:r w:rsidR="00DB7423">
        <w:rPr>
          <w:rFonts w:eastAsia="Calibri" w:cs="Times New Roman"/>
          <w:szCs w:val="24"/>
        </w:rPr>
        <w:t>,</w:t>
      </w:r>
      <w:r w:rsidR="00DE43DA" w:rsidRPr="00DE43DA">
        <w:rPr>
          <w:rFonts w:eastAsia="Calibri" w:cs="Times New Roman"/>
          <w:szCs w:val="24"/>
        </w:rPr>
        <w:t xml:space="preserve"> will continue to apply. All incentive awards are contingent upon available funding.  </w:t>
      </w:r>
    </w:p>
    <w:p w:rsidR="00DE43DA" w:rsidRPr="00DE43DA" w:rsidRDefault="00DE43DA" w:rsidP="00DE43DA">
      <w:pPr>
        <w:spacing w:after="0" w:line="240" w:lineRule="auto"/>
        <w:contextualSpacing/>
        <w:rPr>
          <w:rFonts w:eastAsia="Calibri" w:cs="Times New Roman"/>
          <w:szCs w:val="24"/>
        </w:rPr>
      </w:pPr>
    </w:p>
    <w:p w:rsidR="00DE43DA" w:rsidRPr="00DE43DA" w:rsidRDefault="00DE43DA" w:rsidP="00DE43DA">
      <w:pPr>
        <w:spacing w:after="0" w:line="240" w:lineRule="auto"/>
        <w:contextualSpacing/>
        <w:rPr>
          <w:rFonts w:eastAsia="Calibri" w:cs="Times New Roman"/>
          <w:szCs w:val="24"/>
        </w:rPr>
      </w:pPr>
      <w:r w:rsidRPr="00DE43DA">
        <w:rPr>
          <w:rFonts w:eastAsia="Calibri" w:cs="Times New Roman"/>
          <w:szCs w:val="24"/>
        </w:rPr>
        <w:t xml:space="preserve">Questions regarding the STEM Teacher Recruitment and Retention Incentives may be directed to </w:t>
      </w:r>
      <w:r w:rsidR="003B25E4">
        <w:rPr>
          <w:rFonts w:eastAsia="Calibri" w:cs="Times New Roman"/>
          <w:szCs w:val="24"/>
        </w:rPr>
        <w:t>Maggie M. Clemmons</w:t>
      </w:r>
      <w:r w:rsidRPr="00DE43DA">
        <w:rPr>
          <w:rFonts w:eastAsia="Calibri" w:cs="Times New Roman"/>
          <w:szCs w:val="24"/>
        </w:rPr>
        <w:t xml:space="preserve">, Director of Licensure and School Leadership, at (804) 371-2471 or </w:t>
      </w:r>
      <w:hyperlink r:id="rId12" w:history="1">
        <w:r w:rsidR="00DB7423">
          <w:rPr>
            <w:rFonts w:eastAsia="Calibri" w:cs="Times New Roman"/>
            <w:color w:val="0000FF"/>
            <w:szCs w:val="24"/>
            <w:u w:val="single"/>
          </w:rPr>
          <w:t>Maggie.Clemmons@doe.virginia.gov</w:t>
        </w:r>
      </w:hyperlink>
      <w:r w:rsidRPr="00DE43DA">
        <w:rPr>
          <w:rFonts w:eastAsia="Calibri" w:cs="Times New Roman"/>
          <w:szCs w:val="24"/>
        </w:rPr>
        <w:t>.</w:t>
      </w:r>
    </w:p>
    <w:p w:rsidR="00CE7AF9" w:rsidRPr="00F03FCD" w:rsidRDefault="00CE7AF9" w:rsidP="00CE7AF9">
      <w:pPr>
        <w:contextualSpacing/>
        <w:rPr>
          <w:szCs w:val="24"/>
        </w:rPr>
      </w:pPr>
    </w:p>
    <w:p w:rsidR="008C4A46" w:rsidRPr="002F2AF8" w:rsidRDefault="005E064F" w:rsidP="00167950">
      <w:pPr>
        <w:rPr>
          <w:color w:val="000000"/>
          <w:szCs w:val="24"/>
        </w:rPr>
      </w:pPr>
      <w:r w:rsidRPr="002F2AF8">
        <w:rPr>
          <w:rStyle w:val="PlaceholderText"/>
          <w:color w:val="auto"/>
          <w:szCs w:val="24"/>
        </w:rPr>
        <w:t>JFL/</w:t>
      </w:r>
      <w:r w:rsidR="00DB7423">
        <w:rPr>
          <w:color w:val="000000"/>
          <w:szCs w:val="24"/>
        </w:rPr>
        <w:t>mmc</w:t>
      </w:r>
    </w:p>
    <w:p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8A" w:rsidRDefault="00B0378A" w:rsidP="00B25322">
      <w:pPr>
        <w:spacing w:after="0" w:line="240" w:lineRule="auto"/>
      </w:pPr>
      <w:r>
        <w:separator/>
      </w:r>
    </w:p>
  </w:endnote>
  <w:endnote w:type="continuationSeparator" w:id="0">
    <w:p w:rsidR="00B0378A" w:rsidRDefault="00B0378A"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8A" w:rsidRDefault="00B0378A" w:rsidP="00B25322">
      <w:pPr>
        <w:spacing w:after="0" w:line="240" w:lineRule="auto"/>
      </w:pPr>
      <w:r>
        <w:separator/>
      </w:r>
    </w:p>
  </w:footnote>
  <w:footnote w:type="continuationSeparator" w:id="0">
    <w:p w:rsidR="00B0378A" w:rsidRDefault="00B0378A"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F98"/>
    <w:multiLevelType w:val="hybridMultilevel"/>
    <w:tmpl w:val="B442D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D14F5"/>
    <w:rsid w:val="000E2D83"/>
    <w:rsid w:val="00167950"/>
    <w:rsid w:val="00223595"/>
    <w:rsid w:val="00227B1E"/>
    <w:rsid w:val="0027145D"/>
    <w:rsid w:val="002A6350"/>
    <w:rsid w:val="002F2AF8"/>
    <w:rsid w:val="002F2DAF"/>
    <w:rsid w:val="002F6937"/>
    <w:rsid w:val="0031177E"/>
    <w:rsid w:val="00320D49"/>
    <w:rsid w:val="003238EA"/>
    <w:rsid w:val="003B25E4"/>
    <w:rsid w:val="00406FF4"/>
    <w:rsid w:val="00414707"/>
    <w:rsid w:val="004F6547"/>
    <w:rsid w:val="00507DDA"/>
    <w:rsid w:val="005840A5"/>
    <w:rsid w:val="005E064F"/>
    <w:rsid w:val="005E06EF"/>
    <w:rsid w:val="00625A9B"/>
    <w:rsid w:val="006300B6"/>
    <w:rsid w:val="00653DCC"/>
    <w:rsid w:val="006F488F"/>
    <w:rsid w:val="00726AE8"/>
    <w:rsid w:val="0073236D"/>
    <w:rsid w:val="00750D0E"/>
    <w:rsid w:val="00756255"/>
    <w:rsid w:val="00793593"/>
    <w:rsid w:val="007A73B4"/>
    <w:rsid w:val="007C0B3F"/>
    <w:rsid w:val="007C3E67"/>
    <w:rsid w:val="00851C0B"/>
    <w:rsid w:val="008631A7"/>
    <w:rsid w:val="008B134F"/>
    <w:rsid w:val="008C4A46"/>
    <w:rsid w:val="008D3702"/>
    <w:rsid w:val="009757AA"/>
    <w:rsid w:val="00977AFA"/>
    <w:rsid w:val="009B51FA"/>
    <w:rsid w:val="009C7253"/>
    <w:rsid w:val="009E38A6"/>
    <w:rsid w:val="00A26586"/>
    <w:rsid w:val="00A30BC9"/>
    <w:rsid w:val="00A3144F"/>
    <w:rsid w:val="00A65EE6"/>
    <w:rsid w:val="00A67B2F"/>
    <w:rsid w:val="00A81436"/>
    <w:rsid w:val="00A94E13"/>
    <w:rsid w:val="00AE65FD"/>
    <w:rsid w:val="00AF0EED"/>
    <w:rsid w:val="00B01E92"/>
    <w:rsid w:val="00B0378A"/>
    <w:rsid w:val="00B24212"/>
    <w:rsid w:val="00B25322"/>
    <w:rsid w:val="00B95074"/>
    <w:rsid w:val="00BC1A9C"/>
    <w:rsid w:val="00BE00E6"/>
    <w:rsid w:val="00C23584"/>
    <w:rsid w:val="00C25FA1"/>
    <w:rsid w:val="00CA70A4"/>
    <w:rsid w:val="00CE7AF9"/>
    <w:rsid w:val="00CF0233"/>
    <w:rsid w:val="00CF5DAF"/>
    <w:rsid w:val="00D534B4"/>
    <w:rsid w:val="00D55B56"/>
    <w:rsid w:val="00D63D5E"/>
    <w:rsid w:val="00D83576"/>
    <w:rsid w:val="00D95780"/>
    <w:rsid w:val="00DA0871"/>
    <w:rsid w:val="00DA14B1"/>
    <w:rsid w:val="00DB7423"/>
    <w:rsid w:val="00DD368F"/>
    <w:rsid w:val="00DE36A1"/>
    <w:rsid w:val="00DE43DA"/>
    <w:rsid w:val="00E12E2F"/>
    <w:rsid w:val="00E4085F"/>
    <w:rsid w:val="00E55DF1"/>
    <w:rsid w:val="00E75FCE"/>
    <w:rsid w:val="00E760E6"/>
    <w:rsid w:val="00ED79E7"/>
    <w:rsid w:val="00F257C2"/>
    <w:rsid w:val="00F3386E"/>
    <w:rsid w:val="00F41943"/>
    <w:rsid w:val="00F81813"/>
    <w:rsid w:val="00FD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gie.clemmons@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upport/nutrition/statistics/index.shtml" TargetMode="External"/><Relationship Id="rId5" Type="http://schemas.openxmlformats.org/officeDocument/2006/relationships/webSettings" Target="webSettings.xml"/><Relationship Id="rId10" Type="http://schemas.openxmlformats.org/officeDocument/2006/relationships/hyperlink" Target="http://www.doe.virginia.gov/support/nutrition/statistics/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2EF72-303B-4EDD-BCD5-1FAFB6F8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Superintendent's Memo 202-20</vt:lpstr>
    </vt:vector>
  </TitlesOfParts>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202-20</dc:title>
  <dc:creator/>
  <cp:lastModifiedBy/>
  <cp:revision>1</cp:revision>
  <dcterms:created xsi:type="dcterms:W3CDTF">2020-08-04T21:19:00Z</dcterms:created>
  <dcterms:modified xsi:type="dcterms:W3CDTF">2020-08-04T21:19:00Z</dcterms:modified>
</cp:coreProperties>
</file>