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56" w:rsidRPr="0077599B" w:rsidRDefault="00967F20" w:rsidP="007C7856">
      <w:pPr>
        <w:pStyle w:val="Heading1"/>
        <w:tabs>
          <w:tab w:val="left" w:pos="1440"/>
        </w:tabs>
        <w:jc w:val="right"/>
        <w:rPr>
          <w:b w:val="0"/>
        </w:rPr>
      </w:pPr>
      <w:r w:rsidRPr="0077599B">
        <w:rPr>
          <w:b w:val="0"/>
        </w:rPr>
        <w:t>Superintendent’s Memo #</w:t>
      </w:r>
      <w:bookmarkStart w:id="0" w:name="_GoBack"/>
      <w:r w:rsidR="00A611C0" w:rsidRPr="0077599B">
        <w:rPr>
          <w:b w:val="0"/>
        </w:rPr>
        <w:t>123</w:t>
      </w:r>
      <w:r w:rsidR="00B116E4" w:rsidRPr="0077599B">
        <w:rPr>
          <w:b w:val="0"/>
        </w:rPr>
        <w:t>-20</w:t>
      </w:r>
      <w:bookmarkEnd w:id="0"/>
    </w:p>
    <w:p w:rsidR="009F2FA7" w:rsidRPr="00B27D94" w:rsidRDefault="007C7856" w:rsidP="006D7DAD">
      <w:pPr>
        <w:spacing w:after="360" w:line="240" w:lineRule="auto"/>
        <w:jc w:val="center"/>
        <w:rPr>
          <w:rFonts w:ascii="Times New Roman" w:hAnsi="Times New Roman" w:cs="Times New Roman"/>
          <w:sz w:val="16"/>
          <w:szCs w:val="16"/>
        </w:rPr>
      </w:pPr>
      <w:r w:rsidRPr="00F670D9">
        <w:rPr>
          <w:rFonts w:ascii="Times New Roman" w:hAnsi="Times New Roman" w:cs="Times New Roman"/>
          <w:noProof/>
          <w:sz w:val="24"/>
          <w:szCs w:val="24"/>
        </w:rPr>
        <w:drawing>
          <wp:inline distT="0" distB="0" distL="0" distR="0" wp14:anchorId="3038A729" wp14:editId="087198E1">
            <wp:extent cx="694055" cy="69405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F670D9">
        <w:rPr>
          <w:rFonts w:ascii="Times New Roman" w:hAnsi="Times New Roman" w:cs="Times New Roman"/>
          <w:sz w:val="24"/>
          <w:szCs w:val="24"/>
        </w:rPr>
        <w:br/>
      </w:r>
      <w:r w:rsidRPr="00F670D9">
        <w:rPr>
          <w:rStyle w:val="Strong"/>
          <w:rFonts w:ascii="Times New Roman" w:hAnsi="Times New Roman" w:cs="Times New Roman"/>
          <w:color w:val="000000"/>
          <w:sz w:val="24"/>
          <w:szCs w:val="24"/>
        </w:rPr>
        <w:t>COMMONWEALTH of VIRGINIA</w:t>
      </w:r>
      <w:r w:rsidRPr="00F670D9">
        <w:rPr>
          <w:rFonts w:ascii="Times New Roman" w:hAnsi="Times New Roman" w:cs="Times New Roman"/>
          <w:b/>
          <w:bCs/>
          <w:color w:val="000000"/>
          <w:sz w:val="24"/>
          <w:szCs w:val="24"/>
        </w:rPr>
        <w:br/>
      </w:r>
      <w:r w:rsidRPr="00F670D9">
        <w:rPr>
          <w:rStyle w:val="Strong"/>
          <w:rFonts w:ascii="Times New Roman" w:hAnsi="Times New Roman" w:cs="Times New Roman"/>
          <w:color w:val="000000"/>
          <w:sz w:val="24"/>
          <w:szCs w:val="24"/>
        </w:rPr>
        <w:t>Department of Education</w:t>
      </w:r>
      <w:r w:rsidRPr="00F670D9">
        <w:rPr>
          <w:rStyle w:val="Strong"/>
          <w:rFonts w:ascii="Times New Roman" w:hAnsi="Times New Roman" w:cs="Times New Roman"/>
          <w:color w:val="000000"/>
          <w:sz w:val="24"/>
          <w:szCs w:val="24"/>
        </w:rPr>
        <w:br/>
      </w: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DATE:</w:t>
      </w:r>
      <w:r w:rsidRPr="007C7856">
        <w:rPr>
          <w:rFonts w:ascii="Times New Roman" w:hAnsi="Times New Roman" w:cs="Times New Roman"/>
          <w:sz w:val="24"/>
          <w:szCs w:val="24"/>
        </w:rPr>
        <w:tab/>
      </w:r>
      <w:r w:rsidR="00E6437D">
        <w:rPr>
          <w:rFonts w:ascii="Times New Roman" w:hAnsi="Times New Roman" w:cs="Times New Roman"/>
          <w:sz w:val="24"/>
          <w:szCs w:val="24"/>
        </w:rPr>
        <w:t>May 22,</w:t>
      </w:r>
      <w:r w:rsidR="00E0433E">
        <w:rPr>
          <w:rFonts w:ascii="Times New Roman" w:hAnsi="Times New Roman" w:cs="Times New Roman"/>
          <w:sz w:val="24"/>
          <w:szCs w:val="24"/>
        </w:rPr>
        <w:t xml:space="preserve"> 2020</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 xml:space="preserve">TO: </w:t>
      </w:r>
      <w:r w:rsidRPr="007C7856">
        <w:rPr>
          <w:rFonts w:ascii="Times New Roman" w:hAnsi="Times New Roman" w:cs="Times New Roman"/>
          <w:sz w:val="24"/>
          <w:szCs w:val="24"/>
        </w:rPr>
        <w:tab/>
        <w:t>Division Superintendents</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 xml:space="preserve">FROM: </w:t>
      </w:r>
      <w:r w:rsidRPr="007C7856">
        <w:rPr>
          <w:rFonts w:ascii="Times New Roman" w:hAnsi="Times New Roman" w:cs="Times New Roman"/>
          <w:sz w:val="24"/>
          <w:szCs w:val="24"/>
        </w:rPr>
        <w:tab/>
      </w:r>
      <w:r w:rsidRPr="007C7856">
        <w:rPr>
          <w:rFonts w:ascii="Times New Roman" w:hAnsi="Times New Roman" w:cs="Times New Roman"/>
          <w:color w:val="000000"/>
          <w:sz w:val="24"/>
          <w:szCs w:val="24"/>
        </w:rPr>
        <w:t>James F. Lane</w:t>
      </w:r>
      <w:r w:rsidRPr="007C7856">
        <w:rPr>
          <w:rFonts w:ascii="Times New Roman" w:hAnsi="Times New Roman" w:cs="Times New Roman"/>
          <w:sz w:val="24"/>
          <w:szCs w:val="24"/>
        </w:rPr>
        <w:t xml:space="preserve">, </w:t>
      </w:r>
      <w:proofErr w:type="spellStart"/>
      <w:proofErr w:type="gramStart"/>
      <w:r w:rsidR="00437F36">
        <w:rPr>
          <w:rFonts w:ascii="Times New Roman" w:hAnsi="Times New Roman" w:cs="Times New Roman"/>
          <w:color w:val="000000"/>
          <w:sz w:val="24"/>
          <w:szCs w:val="24"/>
        </w:rPr>
        <w:t>Ed.D</w:t>
      </w:r>
      <w:proofErr w:type="spellEnd"/>
      <w:r w:rsidR="00437F36">
        <w:rPr>
          <w:rFonts w:ascii="Times New Roman" w:hAnsi="Times New Roman" w:cs="Times New Roman"/>
          <w:color w:val="000000"/>
          <w:sz w:val="24"/>
          <w:szCs w:val="24"/>
        </w:rPr>
        <w:t>.,</w:t>
      </w:r>
      <w:proofErr w:type="gramEnd"/>
      <w:r w:rsidR="00437F36">
        <w:rPr>
          <w:rFonts w:ascii="Times New Roman" w:hAnsi="Times New Roman" w:cs="Times New Roman"/>
          <w:color w:val="000000"/>
          <w:sz w:val="24"/>
          <w:szCs w:val="24"/>
        </w:rPr>
        <w:t xml:space="preserve"> </w:t>
      </w:r>
      <w:r w:rsidRPr="007C7856">
        <w:rPr>
          <w:rFonts w:ascii="Times New Roman" w:hAnsi="Times New Roman" w:cs="Times New Roman"/>
          <w:sz w:val="24"/>
          <w:szCs w:val="24"/>
        </w:rPr>
        <w:t>Superintendent of Public Instruction</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D0439D" w:rsidRPr="007C7856" w:rsidRDefault="007C7856" w:rsidP="00B27D94">
      <w:pPr>
        <w:pStyle w:val="Heading2"/>
        <w:tabs>
          <w:tab w:val="left" w:pos="1800"/>
        </w:tabs>
        <w:spacing w:before="0" w:line="240" w:lineRule="auto"/>
        <w:ind w:left="1800" w:hanging="1800"/>
        <w:rPr>
          <w:rFonts w:ascii="Times New Roman" w:hAnsi="Times New Roman" w:cs="Times New Roman"/>
          <w:b w:val="0"/>
          <w:sz w:val="24"/>
          <w:szCs w:val="24"/>
        </w:rPr>
      </w:pPr>
      <w:r w:rsidRPr="007C7856">
        <w:rPr>
          <w:rFonts w:ascii="Times New Roman" w:hAnsi="Times New Roman" w:cs="Times New Roman"/>
          <w:color w:val="auto"/>
          <w:sz w:val="24"/>
          <w:szCs w:val="24"/>
        </w:rPr>
        <w:t xml:space="preserve">SUBJECT: </w:t>
      </w:r>
      <w:r w:rsidRPr="007C7856">
        <w:rPr>
          <w:rFonts w:ascii="Times New Roman" w:hAnsi="Times New Roman" w:cs="Times New Roman"/>
          <w:color w:val="auto"/>
          <w:sz w:val="24"/>
          <w:szCs w:val="24"/>
        </w:rPr>
        <w:tab/>
      </w:r>
      <w:r w:rsidR="00180ADD" w:rsidRPr="00180ADD">
        <w:rPr>
          <w:rFonts w:ascii="Times New Roman" w:hAnsi="Times New Roman" w:cs="Times New Roman"/>
          <w:color w:val="auto"/>
          <w:sz w:val="24"/>
        </w:rPr>
        <w:t xml:space="preserve">Estimated State Allocations under the </w:t>
      </w:r>
      <w:r w:rsidR="00C31156">
        <w:rPr>
          <w:rFonts w:ascii="Times New Roman" w:hAnsi="Times New Roman" w:cs="Times New Roman"/>
          <w:color w:val="auto"/>
          <w:sz w:val="24"/>
        </w:rPr>
        <w:t>Strengthening Career and Technical Education for the 21</w:t>
      </w:r>
      <w:r w:rsidR="00C31156" w:rsidRPr="00C31156">
        <w:rPr>
          <w:rFonts w:ascii="Times New Roman" w:hAnsi="Times New Roman" w:cs="Times New Roman"/>
          <w:color w:val="auto"/>
          <w:sz w:val="24"/>
          <w:vertAlign w:val="superscript"/>
        </w:rPr>
        <w:t>st</w:t>
      </w:r>
      <w:r w:rsidR="00C31156">
        <w:rPr>
          <w:rFonts w:ascii="Times New Roman" w:hAnsi="Times New Roman" w:cs="Times New Roman"/>
          <w:color w:val="auto"/>
          <w:sz w:val="24"/>
        </w:rPr>
        <w:t xml:space="preserve"> Century Act (Perkins V)</w:t>
      </w:r>
      <w:r w:rsidR="00E0433E">
        <w:rPr>
          <w:rFonts w:ascii="Times New Roman" w:hAnsi="Times New Roman" w:cs="Times New Roman"/>
          <w:color w:val="auto"/>
          <w:sz w:val="24"/>
        </w:rPr>
        <w:t xml:space="preserve"> for July 1, 2020</w:t>
      </w:r>
      <w:r w:rsidR="00180ADD" w:rsidRPr="00180ADD">
        <w:rPr>
          <w:rFonts w:ascii="Times New Roman" w:hAnsi="Times New Roman" w:cs="Times New Roman"/>
          <w:color w:val="auto"/>
          <w:sz w:val="24"/>
        </w:rPr>
        <w:t xml:space="preserve"> through June 30, 20</w:t>
      </w:r>
      <w:r w:rsidR="00E0433E">
        <w:rPr>
          <w:rFonts w:ascii="Times New Roman" w:hAnsi="Times New Roman" w:cs="Times New Roman"/>
          <w:color w:val="auto"/>
          <w:sz w:val="24"/>
        </w:rPr>
        <w:t>21</w:t>
      </w:r>
    </w:p>
    <w:p w:rsidR="006D7DAD" w:rsidRPr="00180ADD" w:rsidRDefault="006D7DAD" w:rsidP="006D7DAD">
      <w:pPr>
        <w:spacing w:after="0" w:line="240" w:lineRule="auto"/>
        <w:rPr>
          <w:rFonts w:ascii="Times New Roman" w:hAnsi="Times New Roman" w:cs="Times New Roman"/>
          <w:sz w:val="24"/>
          <w:szCs w:val="24"/>
        </w:rPr>
      </w:pP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 xml:space="preserve">The Virginia Department of Education (VDOE) </w:t>
      </w:r>
      <w:r w:rsidR="00F04CE8">
        <w:rPr>
          <w:rFonts w:ascii="Times New Roman" w:hAnsi="Times New Roman" w:cs="Times New Roman"/>
          <w:sz w:val="24"/>
          <w:szCs w:val="24"/>
        </w:rPr>
        <w:t>has</w:t>
      </w:r>
      <w:r w:rsidRPr="00180ADD">
        <w:rPr>
          <w:rFonts w:ascii="Times New Roman" w:hAnsi="Times New Roman" w:cs="Times New Roman"/>
          <w:sz w:val="24"/>
          <w:szCs w:val="24"/>
        </w:rPr>
        <w:t xml:space="preserve"> received the estimated state allocations under the </w:t>
      </w:r>
      <w:r w:rsidR="00C31156">
        <w:rPr>
          <w:rFonts w:ascii="Times New Roman" w:hAnsi="Times New Roman" w:cs="Times New Roman"/>
          <w:sz w:val="24"/>
          <w:szCs w:val="24"/>
        </w:rPr>
        <w:t>Strengthening Career and Technical Education for the 21</w:t>
      </w:r>
      <w:r w:rsidR="00C31156" w:rsidRPr="00C31156">
        <w:rPr>
          <w:rFonts w:ascii="Times New Roman" w:hAnsi="Times New Roman" w:cs="Times New Roman"/>
          <w:sz w:val="24"/>
          <w:szCs w:val="24"/>
          <w:vertAlign w:val="superscript"/>
        </w:rPr>
        <w:t>st</w:t>
      </w:r>
      <w:r w:rsidR="00C31156">
        <w:rPr>
          <w:rFonts w:ascii="Times New Roman" w:hAnsi="Times New Roman" w:cs="Times New Roman"/>
          <w:sz w:val="24"/>
          <w:szCs w:val="24"/>
        </w:rPr>
        <w:t xml:space="preserve"> Century Act (Perkins </w:t>
      </w:r>
      <w:r w:rsidR="00E0433E">
        <w:rPr>
          <w:rFonts w:ascii="Times New Roman" w:hAnsi="Times New Roman" w:cs="Times New Roman"/>
          <w:sz w:val="24"/>
          <w:szCs w:val="24"/>
        </w:rPr>
        <w:t>V) for school year 2020</w:t>
      </w:r>
      <w:r w:rsidRPr="00180ADD">
        <w:rPr>
          <w:rFonts w:ascii="Times New Roman" w:hAnsi="Times New Roman" w:cs="Times New Roman"/>
          <w:sz w:val="24"/>
          <w:szCs w:val="24"/>
        </w:rPr>
        <w:t>-20</w:t>
      </w:r>
      <w:r w:rsidR="00E0433E">
        <w:rPr>
          <w:rFonts w:ascii="Times New Roman" w:hAnsi="Times New Roman" w:cs="Times New Roman"/>
          <w:sz w:val="24"/>
          <w:szCs w:val="24"/>
        </w:rPr>
        <w:t>21</w:t>
      </w:r>
      <w:r w:rsidR="00967F20">
        <w:rPr>
          <w:rFonts w:ascii="Times New Roman" w:hAnsi="Times New Roman" w:cs="Times New Roman"/>
          <w:sz w:val="24"/>
          <w:szCs w:val="24"/>
        </w:rPr>
        <w:t xml:space="preserve">. </w:t>
      </w:r>
      <w:r w:rsidRPr="00180ADD">
        <w:rPr>
          <w:rFonts w:ascii="Times New Roman" w:hAnsi="Times New Roman" w:cs="Times New Roman"/>
          <w:sz w:val="24"/>
          <w:szCs w:val="24"/>
        </w:rPr>
        <w:t>Virgini</w:t>
      </w:r>
      <w:r w:rsidR="00E0433E">
        <w:rPr>
          <w:rFonts w:ascii="Times New Roman" w:hAnsi="Times New Roman" w:cs="Times New Roman"/>
          <w:sz w:val="24"/>
          <w:szCs w:val="24"/>
        </w:rPr>
        <w:t>a’s federal fiscal year (FY) 2020</w:t>
      </w:r>
      <w:r w:rsidRPr="00180ADD">
        <w:rPr>
          <w:rFonts w:ascii="Times New Roman" w:hAnsi="Times New Roman" w:cs="Times New Roman"/>
          <w:sz w:val="24"/>
          <w:szCs w:val="24"/>
        </w:rPr>
        <w:t xml:space="preserve"> Perkins funding allocation is </w:t>
      </w:r>
      <w:r w:rsidRPr="00B116E4">
        <w:rPr>
          <w:rFonts w:ascii="Times New Roman" w:hAnsi="Times New Roman" w:cs="Times New Roman"/>
          <w:sz w:val="24"/>
          <w:szCs w:val="24"/>
        </w:rPr>
        <w:t>$</w:t>
      </w:r>
      <w:r w:rsidR="00B116E4" w:rsidRPr="00B116E4">
        <w:rPr>
          <w:rFonts w:ascii="Times New Roman" w:hAnsi="Times New Roman" w:cs="Times New Roman"/>
          <w:sz w:val="24"/>
          <w:szCs w:val="24"/>
        </w:rPr>
        <w:t>28,777,008</w:t>
      </w:r>
      <w:r w:rsidRPr="00B116E4">
        <w:rPr>
          <w:rFonts w:ascii="Times New Roman" w:hAnsi="Times New Roman" w:cs="Times New Roman"/>
          <w:sz w:val="24"/>
          <w:szCs w:val="24"/>
        </w:rPr>
        <w:t>,</w:t>
      </w:r>
      <w:r w:rsidRPr="00180ADD">
        <w:rPr>
          <w:rFonts w:ascii="Times New Roman" w:hAnsi="Times New Roman" w:cs="Times New Roman"/>
          <w:sz w:val="24"/>
          <w:szCs w:val="24"/>
        </w:rPr>
        <w:t xml:space="preserve"> which is an overall increase of </w:t>
      </w:r>
      <w:r w:rsidR="00B116E4">
        <w:rPr>
          <w:rFonts w:ascii="Times New Roman" w:hAnsi="Times New Roman" w:cs="Times New Roman"/>
          <w:sz w:val="24"/>
          <w:szCs w:val="24"/>
        </w:rPr>
        <w:t xml:space="preserve">1.62 </w:t>
      </w:r>
      <w:r w:rsidRPr="00180ADD">
        <w:rPr>
          <w:rFonts w:ascii="Times New Roman" w:hAnsi="Times New Roman" w:cs="Times New Roman"/>
          <w:sz w:val="24"/>
          <w:szCs w:val="24"/>
        </w:rPr>
        <w:t xml:space="preserve">percent </w:t>
      </w:r>
      <w:r w:rsidRPr="00B116E4">
        <w:rPr>
          <w:rFonts w:ascii="Times New Roman" w:hAnsi="Times New Roman" w:cs="Times New Roman"/>
          <w:sz w:val="24"/>
          <w:szCs w:val="24"/>
        </w:rPr>
        <w:t>($</w:t>
      </w:r>
      <w:r w:rsidR="00B116E4">
        <w:rPr>
          <w:rFonts w:ascii="Times New Roman" w:hAnsi="Times New Roman" w:cs="Times New Roman"/>
          <w:sz w:val="24"/>
          <w:szCs w:val="24"/>
        </w:rPr>
        <w:t>466,614</w:t>
      </w:r>
      <w:r w:rsidR="00C64608">
        <w:rPr>
          <w:rFonts w:ascii="Times New Roman" w:hAnsi="Times New Roman" w:cs="Times New Roman"/>
          <w:sz w:val="24"/>
          <w:szCs w:val="24"/>
        </w:rPr>
        <w:t xml:space="preserve">) compared to the prior year. </w:t>
      </w:r>
      <w:r w:rsidRPr="00180ADD">
        <w:rPr>
          <w:rFonts w:ascii="Times New Roman" w:hAnsi="Times New Roman" w:cs="Times New Roman"/>
          <w:sz w:val="24"/>
          <w:szCs w:val="24"/>
        </w:rPr>
        <w:t xml:space="preserve">Please refer to the attachments for </w:t>
      </w:r>
      <w:r w:rsidR="00E05591">
        <w:rPr>
          <w:rFonts w:ascii="Times New Roman" w:hAnsi="Times New Roman" w:cs="Times New Roman"/>
          <w:sz w:val="24"/>
          <w:szCs w:val="24"/>
        </w:rPr>
        <w:t xml:space="preserve">school </w:t>
      </w:r>
      <w:r w:rsidRPr="00180ADD">
        <w:rPr>
          <w:rFonts w:ascii="Times New Roman" w:hAnsi="Times New Roman" w:cs="Times New Roman"/>
          <w:sz w:val="24"/>
          <w:szCs w:val="24"/>
        </w:rPr>
        <w:t>division funding allocations.</w:t>
      </w:r>
    </w:p>
    <w:p w:rsidR="00180ADD" w:rsidRPr="00180ADD" w:rsidRDefault="00180ADD" w:rsidP="00180ADD">
      <w:pPr>
        <w:tabs>
          <w:tab w:val="left" w:pos="1005"/>
        </w:tabs>
        <w:spacing w:after="0" w:line="240" w:lineRule="auto"/>
        <w:rPr>
          <w:rFonts w:ascii="Times New Roman" w:hAnsi="Times New Roman" w:cs="Times New Roman"/>
          <w:sz w:val="24"/>
          <w:szCs w:val="24"/>
        </w:rPr>
      </w:pPr>
    </w:p>
    <w:p w:rsidR="007B3CCF"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 xml:space="preserve">The grant </w:t>
      </w:r>
      <w:r w:rsidR="00E0433E">
        <w:rPr>
          <w:rFonts w:ascii="Times New Roman" w:hAnsi="Times New Roman" w:cs="Times New Roman"/>
          <w:sz w:val="24"/>
          <w:szCs w:val="24"/>
        </w:rPr>
        <w:t>award period is from July 1, 2020</w:t>
      </w:r>
      <w:r w:rsidRPr="00180ADD">
        <w:rPr>
          <w:rFonts w:ascii="Times New Roman" w:hAnsi="Times New Roman" w:cs="Times New Roman"/>
          <w:sz w:val="24"/>
          <w:szCs w:val="24"/>
        </w:rPr>
        <w:t xml:space="preserve"> through June 30, 20</w:t>
      </w:r>
      <w:r w:rsidR="00E0433E">
        <w:rPr>
          <w:rFonts w:ascii="Times New Roman" w:hAnsi="Times New Roman" w:cs="Times New Roman"/>
          <w:sz w:val="24"/>
          <w:szCs w:val="24"/>
        </w:rPr>
        <w:t>21</w:t>
      </w:r>
      <w:r w:rsidRPr="00180ADD">
        <w:rPr>
          <w:rFonts w:ascii="Times New Roman" w:hAnsi="Times New Roman" w:cs="Times New Roman"/>
          <w:sz w:val="24"/>
          <w:szCs w:val="24"/>
        </w:rPr>
        <w:t xml:space="preserve">; however, the funds will be distributed to the state in two allocations.  Approximately </w:t>
      </w:r>
      <w:r w:rsidR="00B116E4">
        <w:rPr>
          <w:rFonts w:ascii="Times New Roman" w:hAnsi="Times New Roman" w:cs="Times New Roman"/>
          <w:sz w:val="24"/>
          <w:szCs w:val="24"/>
        </w:rPr>
        <w:t>38.83</w:t>
      </w:r>
      <w:r w:rsidRPr="00180ADD">
        <w:rPr>
          <w:rFonts w:ascii="Times New Roman" w:hAnsi="Times New Roman" w:cs="Times New Roman"/>
          <w:sz w:val="24"/>
          <w:szCs w:val="24"/>
        </w:rPr>
        <w:t xml:space="preserve"> percent will be available on </w:t>
      </w: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July</w:t>
      </w:r>
      <w:r w:rsidR="00E0433E">
        <w:rPr>
          <w:rFonts w:ascii="Times New Roman" w:hAnsi="Times New Roman" w:cs="Times New Roman"/>
          <w:sz w:val="24"/>
          <w:szCs w:val="24"/>
        </w:rPr>
        <w:t xml:space="preserve"> 1, 2020</w:t>
      </w:r>
      <w:r w:rsidRPr="00180ADD">
        <w:rPr>
          <w:rFonts w:ascii="Times New Roman" w:hAnsi="Times New Roman" w:cs="Times New Roman"/>
          <w:sz w:val="24"/>
          <w:szCs w:val="24"/>
        </w:rPr>
        <w:t xml:space="preserve">.  The remaining </w:t>
      </w:r>
      <w:r w:rsidR="00B116E4">
        <w:rPr>
          <w:rFonts w:ascii="Times New Roman" w:hAnsi="Times New Roman" w:cs="Times New Roman"/>
          <w:sz w:val="24"/>
          <w:szCs w:val="24"/>
        </w:rPr>
        <w:t>61.17</w:t>
      </w:r>
      <w:r w:rsidRPr="00180ADD">
        <w:rPr>
          <w:rFonts w:ascii="Times New Roman" w:hAnsi="Times New Roman" w:cs="Times New Roman"/>
          <w:sz w:val="24"/>
          <w:szCs w:val="24"/>
        </w:rPr>
        <w:t xml:space="preserve"> percent wil</w:t>
      </w:r>
      <w:r w:rsidR="00E0433E">
        <w:rPr>
          <w:rFonts w:ascii="Times New Roman" w:hAnsi="Times New Roman" w:cs="Times New Roman"/>
          <w:sz w:val="24"/>
          <w:szCs w:val="24"/>
        </w:rPr>
        <w:t>l be available on October 1, 2020</w:t>
      </w:r>
      <w:r w:rsidRPr="00180ADD">
        <w:rPr>
          <w:rFonts w:ascii="Times New Roman" w:hAnsi="Times New Roman" w:cs="Times New Roman"/>
          <w:sz w:val="24"/>
          <w:szCs w:val="24"/>
        </w:rPr>
        <w:t>.  There is no provision for Perkins funds to be carried over to the next school year, which means that all funds must be expended or obligated by June 30, 20</w:t>
      </w:r>
      <w:r w:rsidR="00E0433E">
        <w:rPr>
          <w:rFonts w:ascii="Times New Roman" w:hAnsi="Times New Roman" w:cs="Times New Roman"/>
          <w:sz w:val="24"/>
          <w:szCs w:val="24"/>
        </w:rPr>
        <w:t>21</w:t>
      </w:r>
      <w:r w:rsidRPr="00180ADD">
        <w:rPr>
          <w:rFonts w:ascii="Times New Roman" w:hAnsi="Times New Roman" w:cs="Times New Roman"/>
          <w:sz w:val="24"/>
          <w:szCs w:val="24"/>
        </w:rPr>
        <w:t>.</w:t>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77599B" w:rsidP="00180ADD">
      <w:pPr>
        <w:spacing w:after="0" w:line="240" w:lineRule="auto"/>
        <w:rPr>
          <w:rFonts w:ascii="Times New Roman" w:hAnsi="Times New Roman" w:cs="Times New Roman"/>
          <w:sz w:val="24"/>
          <w:szCs w:val="24"/>
        </w:rPr>
      </w:pPr>
      <w:hyperlink r:id="rId7" w:history="1">
        <w:r w:rsidR="00180ADD" w:rsidRPr="00180ADD">
          <w:rPr>
            <w:rStyle w:val="Hyperlink"/>
            <w:rFonts w:ascii="Times New Roman" w:hAnsi="Times New Roman" w:cs="Times New Roman"/>
            <w:sz w:val="24"/>
            <w:szCs w:val="24"/>
          </w:rPr>
          <w:t>Attachment A</w:t>
        </w:r>
      </w:hyperlink>
      <w:r w:rsidR="00180ADD" w:rsidRPr="00180ADD">
        <w:rPr>
          <w:rFonts w:ascii="Times New Roman" w:hAnsi="Times New Roman" w:cs="Times New Roman"/>
          <w:sz w:val="24"/>
          <w:szCs w:val="24"/>
        </w:rPr>
        <w:t xml:space="preserve"> lists the school year 20</w:t>
      </w:r>
      <w:r w:rsidR="00E0433E">
        <w:rPr>
          <w:rFonts w:ascii="Times New Roman" w:hAnsi="Times New Roman" w:cs="Times New Roman"/>
          <w:sz w:val="24"/>
          <w:szCs w:val="24"/>
        </w:rPr>
        <w:t>20</w:t>
      </w:r>
      <w:r w:rsidR="00180ADD" w:rsidRPr="00180ADD">
        <w:rPr>
          <w:rFonts w:ascii="Times New Roman" w:hAnsi="Times New Roman" w:cs="Times New Roman"/>
          <w:sz w:val="24"/>
          <w:szCs w:val="24"/>
        </w:rPr>
        <w:t>-20</w:t>
      </w:r>
      <w:r w:rsidR="00E0433E">
        <w:rPr>
          <w:rFonts w:ascii="Times New Roman" w:hAnsi="Times New Roman" w:cs="Times New Roman"/>
          <w:sz w:val="24"/>
          <w:szCs w:val="24"/>
        </w:rPr>
        <w:t>21</w:t>
      </w:r>
      <w:r w:rsidR="00180ADD" w:rsidRPr="00180ADD">
        <w:rPr>
          <w:rFonts w:ascii="Times New Roman" w:hAnsi="Times New Roman" w:cs="Times New Roman"/>
          <w:sz w:val="24"/>
          <w:szCs w:val="24"/>
        </w:rPr>
        <w:t xml:space="preserve"> Perkins fund</w:t>
      </w:r>
      <w:r w:rsidR="00E05591">
        <w:rPr>
          <w:rFonts w:ascii="Times New Roman" w:hAnsi="Times New Roman" w:cs="Times New Roman"/>
          <w:sz w:val="24"/>
          <w:szCs w:val="24"/>
        </w:rPr>
        <w:t>ing</w:t>
      </w:r>
      <w:r w:rsidR="00180ADD" w:rsidRPr="00180ADD">
        <w:rPr>
          <w:rFonts w:ascii="Times New Roman" w:hAnsi="Times New Roman" w:cs="Times New Roman"/>
          <w:sz w:val="24"/>
          <w:szCs w:val="24"/>
        </w:rPr>
        <w:t xml:space="preserve"> allocations for school divisions.  Please note the following federal regulations impacting the calculation of the school division allocations:</w:t>
      </w:r>
    </w:p>
    <w:p w:rsidR="00180ADD" w:rsidRPr="00180ADD" w:rsidRDefault="00180ADD" w:rsidP="00180ADD">
      <w:pPr>
        <w:spacing w:after="0" w:line="240" w:lineRule="auto"/>
        <w:rPr>
          <w:rFonts w:ascii="Times New Roman" w:hAnsi="Times New Roman" w:cs="Times New Roman"/>
          <w:sz w:val="24"/>
          <w:szCs w:val="24"/>
        </w:rPr>
      </w:pPr>
    </w:p>
    <w:p w:rsidR="00180ADD" w:rsidRPr="00437F36" w:rsidRDefault="006417FF" w:rsidP="00180ADD">
      <w:pPr>
        <w:numPr>
          <w:ilvl w:val="0"/>
          <w:numId w:val="8"/>
        </w:numPr>
        <w:spacing w:after="0" w:line="240" w:lineRule="auto"/>
        <w:rPr>
          <w:rFonts w:ascii="Times New Roman" w:hAnsi="Times New Roman" w:cs="Times New Roman"/>
          <w:sz w:val="24"/>
          <w:szCs w:val="24"/>
        </w:rPr>
      </w:pPr>
      <w:r w:rsidRPr="00437F36">
        <w:rPr>
          <w:rFonts w:ascii="Times New Roman" w:hAnsi="Times New Roman" w:cs="Times New Roman"/>
          <w:sz w:val="24"/>
          <w:szCs w:val="24"/>
        </w:rPr>
        <w:t xml:space="preserve">Perkins V requires that </w:t>
      </w:r>
      <w:r w:rsidR="00F04CE8" w:rsidRPr="00437F36">
        <w:rPr>
          <w:rFonts w:ascii="Times New Roman" w:hAnsi="Times New Roman" w:cs="Times New Roman"/>
          <w:sz w:val="24"/>
          <w:szCs w:val="24"/>
        </w:rPr>
        <w:t>s</w:t>
      </w:r>
      <w:r w:rsidR="00180ADD" w:rsidRPr="00437F36">
        <w:rPr>
          <w:rFonts w:ascii="Times New Roman" w:hAnsi="Times New Roman" w:cs="Times New Roman"/>
          <w:sz w:val="24"/>
          <w:szCs w:val="24"/>
        </w:rPr>
        <w:t xml:space="preserve">tates distribute secondary funds under Section 131(a)(2) of the Act based on the </w:t>
      </w:r>
      <w:r w:rsidRPr="00437F36">
        <w:rPr>
          <w:rFonts w:ascii="Times New Roman" w:hAnsi="Times New Roman" w:cs="Times New Roman"/>
          <w:sz w:val="24"/>
          <w:szCs w:val="24"/>
        </w:rPr>
        <w:t>Bureau of the Census’</w:t>
      </w:r>
      <w:r w:rsidR="00180ADD" w:rsidRPr="00437F36">
        <w:rPr>
          <w:rFonts w:ascii="Times New Roman" w:hAnsi="Times New Roman" w:cs="Times New Roman"/>
          <w:sz w:val="24"/>
          <w:szCs w:val="24"/>
        </w:rPr>
        <w:t xml:space="preserve"> estimate of the number of individuals aged 5 through 17, inclusive, who reside in the school district served by such local educational agency and are from families below the poverty level for the preceding fiscal year, as determined by the most recent satisfactory data used under Section 1124(c)(1)(A) of the </w:t>
      </w:r>
      <w:r w:rsidR="00180ADD" w:rsidRPr="00437F36">
        <w:rPr>
          <w:rFonts w:ascii="Times New Roman" w:hAnsi="Times New Roman" w:cs="Times New Roman"/>
          <w:i/>
          <w:sz w:val="24"/>
          <w:szCs w:val="24"/>
        </w:rPr>
        <w:t>Elementary and Secondary Education Act of 1965</w:t>
      </w:r>
      <w:r w:rsidR="00180ADD" w:rsidRPr="00437F36">
        <w:rPr>
          <w:rFonts w:ascii="Times New Roman" w:hAnsi="Times New Roman" w:cs="Times New Roman"/>
          <w:sz w:val="24"/>
          <w:szCs w:val="24"/>
        </w:rPr>
        <w:t xml:space="preserve"> as amended </w:t>
      </w:r>
      <w:r w:rsidRPr="00437F36">
        <w:rPr>
          <w:rFonts w:ascii="Times New Roman" w:hAnsi="Times New Roman" w:cs="Times New Roman"/>
          <w:sz w:val="24"/>
          <w:szCs w:val="24"/>
        </w:rPr>
        <w:t>(ESEA) compared to the total number of</w:t>
      </w:r>
      <w:r w:rsidR="00180ADD" w:rsidRPr="00437F36">
        <w:rPr>
          <w:rFonts w:ascii="Times New Roman" w:hAnsi="Times New Roman" w:cs="Times New Roman"/>
          <w:sz w:val="24"/>
          <w:szCs w:val="24"/>
        </w:rPr>
        <w:t xml:space="preserve"> individuals who reside in the school districts served by all the loc</w:t>
      </w:r>
      <w:r w:rsidR="00D60EBA" w:rsidRPr="00437F36">
        <w:rPr>
          <w:rFonts w:ascii="Times New Roman" w:hAnsi="Times New Roman" w:cs="Times New Roman"/>
          <w:sz w:val="24"/>
          <w:szCs w:val="24"/>
        </w:rPr>
        <w:t xml:space="preserve">al educational agencies in the </w:t>
      </w:r>
      <w:r w:rsidR="00F04CE8" w:rsidRPr="00437F36">
        <w:rPr>
          <w:rFonts w:ascii="Times New Roman" w:hAnsi="Times New Roman" w:cs="Times New Roman"/>
          <w:sz w:val="24"/>
          <w:szCs w:val="24"/>
        </w:rPr>
        <w:t>s</w:t>
      </w:r>
      <w:r w:rsidR="00180ADD" w:rsidRPr="00437F36">
        <w:rPr>
          <w:rFonts w:ascii="Times New Roman" w:hAnsi="Times New Roman" w:cs="Times New Roman"/>
          <w:sz w:val="24"/>
          <w:szCs w:val="24"/>
        </w:rPr>
        <w:t>tate for such preceding fiscal year.</w:t>
      </w:r>
      <w:r w:rsidR="00E05591" w:rsidRPr="00437F36">
        <w:rPr>
          <w:rFonts w:ascii="Times New Roman" w:hAnsi="Times New Roman" w:cs="Times New Roman"/>
          <w:sz w:val="24"/>
          <w:szCs w:val="24"/>
        </w:rPr>
        <w:t xml:space="preserve">  </w:t>
      </w:r>
      <w:r w:rsidR="00180ADD" w:rsidRPr="00437F36">
        <w:rPr>
          <w:rFonts w:ascii="Times New Roman" w:hAnsi="Times New Roman" w:cs="Times New Roman"/>
          <w:sz w:val="24"/>
          <w:szCs w:val="24"/>
        </w:rPr>
        <w:t xml:space="preserve">This computation must be based on the </w:t>
      </w:r>
      <w:r w:rsidR="00B116E4" w:rsidRPr="00437F36">
        <w:rPr>
          <w:rFonts w:ascii="Times New Roman" w:hAnsi="Times New Roman" w:cs="Times New Roman"/>
          <w:sz w:val="24"/>
          <w:szCs w:val="24"/>
        </w:rPr>
        <w:t>2018</w:t>
      </w:r>
      <w:r w:rsidR="00180ADD" w:rsidRPr="00437F36">
        <w:rPr>
          <w:rFonts w:ascii="Times New Roman" w:hAnsi="Times New Roman" w:cs="Times New Roman"/>
          <w:sz w:val="24"/>
          <w:szCs w:val="24"/>
        </w:rPr>
        <w:t xml:space="preserve"> poverty estimates provided by the Bureau </w:t>
      </w:r>
      <w:r w:rsidR="00D60EBA" w:rsidRPr="00437F36">
        <w:rPr>
          <w:rFonts w:ascii="Times New Roman" w:hAnsi="Times New Roman" w:cs="Times New Roman"/>
          <w:sz w:val="24"/>
          <w:szCs w:val="24"/>
        </w:rPr>
        <w:t xml:space="preserve">of the Census </w:t>
      </w:r>
      <w:r w:rsidR="00180ADD" w:rsidRPr="00437F36">
        <w:rPr>
          <w:rFonts w:ascii="Times New Roman" w:hAnsi="Times New Roman" w:cs="Times New Roman"/>
          <w:sz w:val="24"/>
          <w:szCs w:val="24"/>
        </w:rPr>
        <w:t xml:space="preserve">(in the column entitled “Relevant age 5 to 17 in families in poverty”), which are based on </w:t>
      </w:r>
      <w:r w:rsidR="00B116E4" w:rsidRPr="00437F36">
        <w:rPr>
          <w:rFonts w:ascii="Times New Roman" w:hAnsi="Times New Roman" w:cs="Times New Roman"/>
          <w:sz w:val="24"/>
          <w:szCs w:val="24"/>
        </w:rPr>
        <w:t>2018-2019</w:t>
      </w:r>
      <w:r w:rsidR="00180ADD" w:rsidRPr="00437F36">
        <w:rPr>
          <w:rFonts w:ascii="Times New Roman" w:hAnsi="Times New Roman" w:cs="Times New Roman"/>
          <w:sz w:val="24"/>
          <w:szCs w:val="24"/>
        </w:rPr>
        <w:t xml:space="preserve"> school district boundaries, and which were obtained </w:t>
      </w:r>
      <w:proofErr w:type="gramStart"/>
      <w:r w:rsidR="00180ADD" w:rsidRPr="00437F36">
        <w:rPr>
          <w:rFonts w:ascii="Times New Roman" w:hAnsi="Times New Roman" w:cs="Times New Roman"/>
          <w:sz w:val="24"/>
          <w:szCs w:val="24"/>
        </w:rPr>
        <w:t>at:</w:t>
      </w:r>
      <w:proofErr w:type="gramEnd"/>
      <w:r w:rsidR="00180ADD" w:rsidRPr="00437F36">
        <w:rPr>
          <w:rFonts w:ascii="Times New Roman" w:hAnsi="Times New Roman" w:cs="Times New Roman"/>
          <w:sz w:val="24"/>
          <w:szCs w:val="24"/>
        </w:rPr>
        <w:t xml:space="preserve"> </w:t>
      </w:r>
      <w:hyperlink r:id="rId8" w:history="1">
        <w:r w:rsidR="00B116E4" w:rsidRPr="00437F36">
          <w:rPr>
            <w:rStyle w:val="Hyperlink"/>
            <w:rFonts w:ascii="Times New Roman" w:hAnsi="Times New Roman" w:cs="Times New Roman"/>
            <w:sz w:val="24"/>
            <w:szCs w:val="24"/>
          </w:rPr>
          <w:t>Link: https://www.census.gov/data/datasets/2018/d</w:t>
        </w:r>
        <w:r w:rsidR="00B116E4" w:rsidRPr="00437F36">
          <w:rPr>
            <w:rStyle w:val="Hyperlink"/>
            <w:rFonts w:ascii="Times New Roman" w:hAnsi="Times New Roman" w:cs="Times New Roman"/>
            <w:sz w:val="24"/>
            <w:szCs w:val="24"/>
          </w:rPr>
          <w:t>e</w:t>
        </w:r>
        <w:r w:rsidR="00B116E4" w:rsidRPr="00437F36">
          <w:rPr>
            <w:rStyle w:val="Hyperlink"/>
            <w:rFonts w:ascii="Times New Roman" w:hAnsi="Times New Roman" w:cs="Times New Roman"/>
            <w:sz w:val="24"/>
            <w:szCs w:val="24"/>
          </w:rPr>
          <w:t>mo/saipe/2018-school-districts.html</w:t>
        </w:r>
      </w:hyperlink>
      <w:r w:rsidR="00F04CE8" w:rsidRPr="00437F36">
        <w:rPr>
          <w:rStyle w:val="Hyperlink"/>
          <w:rFonts w:ascii="Times New Roman" w:hAnsi="Times New Roman" w:cs="Times New Roman"/>
          <w:color w:val="auto"/>
          <w:sz w:val="24"/>
          <w:szCs w:val="24"/>
          <w:u w:val="none"/>
        </w:rPr>
        <w:t>.</w:t>
      </w:r>
      <w:r w:rsidR="00437F36" w:rsidRPr="00437F36">
        <w:rPr>
          <w:rStyle w:val="Hyperlink"/>
          <w:rFonts w:ascii="Times New Roman" w:hAnsi="Times New Roman" w:cs="Times New Roman"/>
          <w:color w:val="auto"/>
          <w:sz w:val="24"/>
          <w:szCs w:val="24"/>
          <w:u w:val="none"/>
        </w:rPr>
        <w:t xml:space="preserve"> </w:t>
      </w:r>
      <w:r w:rsidR="00180ADD" w:rsidRPr="00437F36">
        <w:rPr>
          <w:rFonts w:ascii="Times New Roman" w:hAnsi="Times New Roman" w:cs="Times New Roman"/>
          <w:sz w:val="24"/>
          <w:szCs w:val="24"/>
        </w:rPr>
        <w:t>Seventy percent of local funding allocations are distributed based on this poverty data.</w:t>
      </w:r>
    </w:p>
    <w:p w:rsidR="00437F36" w:rsidRDefault="00437F36">
      <w:pPr>
        <w:rPr>
          <w:rFonts w:ascii="Times New Roman" w:hAnsi="Times New Roman" w:cs="Times New Roman"/>
          <w:sz w:val="24"/>
          <w:szCs w:val="24"/>
        </w:rPr>
      </w:pPr>
      <w:r>
        <w:rPr>
          <w:rFonts w:ascii="Times New Roman" w:hAnsi="Times New Roman" w:cs="Times New Roman"/>
          <w:sz w:val="24"/>
          <w:szCs w:val="24"/>
        </w:rPr>
        <w:br w:type="page"/>
      </w:r>
    </w:p>
    <w:p w:rsidR="00180ADD" w:rsidRPr="00E05591" w:rsidRDefault="00930033" w:rsidP="00180ADD">
      <w:pPr>
        <w:numPr>
          <w:ilvl w:val="0"/>
          <w:numId w:val="8"/>
        </w:numPr>
        <w:spacing w:after="0" w:line="240" w:lineRule="auto"/>
        <w:rPr>
          <w:rFonts w:ascii="Times New Roman" w:hAnsi="Times New Roman" w:cs="Times New Roman"/>
          <w:sz w:val="24"/>
          <w:szCs w:val="24"/>
        </w:rPr>
      </w:pPr>
      <w:proofErr w:type="gramStart"/>
      <w:r w:rsidRPr="00E05591">
        <w:rPr>
          <w:rFonts w:ascii="Times New Roman" w:hAnsi="Times New Roman" w:cs="Times New Roman"/>
          <w:sz w:val="24"/>
          <w:szCs w:val="24"/>
        </w:rPr>
        <w:lastRenderedPageBreak/>
        <w:t xml:space="preserve">Perkins </w:t>
      </w:r>
      <w:r w:rsidR="00180ADD" w:rsidRPr="00E05591">
        <w:rPr>
          <w:rFonts w:ascii="Times New Roman" w:hAnsi="Times New Roman" w:cs="Times New Roman"/>
          <w:sz w:val="24"/>
          <w:szCs w:val="24"/>
        </w:rPr>
        <w:t>V also requires that states distribute secondary funds under Section 131(a)(1) of the Act based on the number of individuals aged 5 through 17, inclusive, who reside in the school d</w:t>
      </w:r>
      <w:r w:rsidRPr="00E05591">
        <w:rPr>
          <w:rFonts w:ascii="Times New Roman" w:hAnsi="Times New Roman" w:cs="Times New Roman"/>
          <w:sz w:val="24"/>
          <w:szCs w:val="24"/>
        </w:rPr>
        <w:t>ivision</w:t>
      </w:r>
      <w:r w:rsidR="00180ADD" w:rsidRPr="00E05591">
        <w:rPr>
          <w:rFonts w:ascii="Times New Roman" w:hAnsi="Times New Roman" w:cs="Times New Roman"/>
          <w:sz w:val="24"/>
          <w:szCs w:val="24"/>
        </w:rPr>
        <w:t xml:space="preserve"> served by such local educational agency for the preceding year compared to the total number of such individuals who reside in the school </w:t>
      </w:r>
      <w:r w:rsidRPr="00E05591">
        <w:rPr>
          <w:rFonts w:ascii="Times New Roman" w:hAnsi="Times New Roman" w:cs="Times New Roman"/>
          <w:sz w:val="24"/>
          <w:szCs w:val="24"/>
        </w:rPr>
        <w:t>division</w:t>
      </w:r>
      <w:r w:rsidR="00180ADD" w:rsidRPr="00E05591">
        <w:rPr>
          <w:rFonts w:ascii="Times New Roman" w:hAnsi="Times New Roman" w:cs="Times New Roman"/>
          <w:sz w:val="24"/>
          <w:szCs w:val="24"/>
        </w:rPr>
        <w:t>s served by all local educational agencies in the state for such preceding fiscal year.</w:t>
      </w:r>
      <w:proofErr w:type="gramEnd"/>
      <w:r w:rsidR="00E05591" w:rsidRPr="00E05591">
        <w:rPr>
          <w:rFonts w:ascii="Times New Roman" w:hAnsi="Times New Roman" w:cs="Times New Roman"/>
          <w:sz w:val="24"/>
          <w:szCs w:val="24"/>
        </w:rPr>
        <w:t xml:space="preserve">  </w:t>
      </w:r>
      <w:r w:rsidR="00180ADD" w:rsidRPr="00E05591">
        <w:rPr>
          <w:rFonts w:ascii="Times New Roman" w:hAnsi="Times New Roman" w:cs="Times New Roman"/>
          <w:sz w:val="24"/>
          <w:szCs w:val="24"/>
        </w:rPr>
        <w:t>This computation was based on the most updated student enrollment data, reflecting the 201</w:t>
      </w:r>
      <w:r w:rsidR="00437F36">
        <w:rPr>
          <w:rFonts w:ascii="Times New Roman" w:hAnsi="Times New Roman" w:cs="Times New Roman"/>
          <w:sz w:val="24"/>
          <w:szCs w:val="24"/>
        </w:rPr>
        <w:t>7</w:t>
      </w:r>
      <w:r w:rsidR="00180ADD" w:rsidRPr="00E05591">
        <w:rPr>
          <w:rFonts w:ascii="Times New Roman" w:hAnsi="Times New Roman" w:cs="Times New Roman"/>
          <w:sz w:val="24"/>
          <w:szCs w:val="24"/>
        </w:rPr>
        <w:t>-201</w:t>
      </w:r>
      <w:r w:rsidR="00437F36">
        <w:rPr>
          <w:rFonts w:ascii="Times New Roman" w:hAnsi="Times New Roman" w:cs="Times New Roman"/>
          <w:sz w:val="24"/>
          <w:szCs w:val="24"/>
        </w:rPr>
        <w:t>8</w:t>
      </w:r>
      <w:r w:rsidR="00180ADD" w:rsidRPr="00E05591">
        <w:rPr>
          <w:rFonts w:ascii="Times New Roman" w:hAnsi="Times New Roman" w:cs="Times New Roman"/>
          <w:sz w:val="24"/>
          <w:szCs w:val="24"/>
        </w:rPr>
        <w:t xml:space="preserve"> school year, collected by the National Center for Education Statistics through the Common Core of Data (CCD) survey system, which was obtained at: </w:t>
      </w:r>
      <w:hyperlink r:id="rId9" w:history="1">
        <w:r w:rsidR="00180ADD" w:rsidRPr="00E05591">
          <w:rPr>
            <w:rStyle w:val="Hyperlink"/>
            <w:rFonts w:ascii="Times New Roman" w:hAnsi="Times New Roman" w:cs="Times New Roman"/>
            <w:sz w:val="24"/>
            <w:szCs w:val="24"/>
          </w:rPr>
          <w:t>Link: https://nces.ed.gov/ccd/pu</w:t>
        </w:r>
        <w:r w:rsidR="00180ADD" w:rsidRPr="00E05591">
          <w:rPr>
            <w:rStyle w:val="Hyperlink"/>
            <w:rFonts w:ascii="Times New Roman" w:hAnsi="Times New Roman" w:cs="Times New Roman"/>
            <w:sz w:val="24"/>
            <w:szCs w:val="24"/>
          </w:rPr>
          <w:t>b</w:t>
        </w:r>
        <w:r w:rsidR="00180ADD" w:rsidRPr="00E05591">
          <w:rPr>
            <w:rStyle w:val="Hyperlink"/>
            <w:rFonts w:ascii="Times New Roman" w:hAnsi="Times New Roman" w:cs="Times New Roman"/>
            <w:sz w:val="24"/>
            <w:szCs w:val="24"/>
          </w:rPr>
          <w:t>agency.asp</w:t>
        </w:r>
      </w:hyperlink>
      <w:r w:rsidR="00180ADD" w:rsidRPr="00E05591">
        <w:rPr>
          <w:rFonts w:ascii="Times New Roman" w:hAnsi="Times New Roman" w:cs="Times New Roman"/>
          <w:sz w:val="24"/>
          <w:szCs w:val="24"/>
        </w:rPr>
        <w:t>.  Thirty percent of the local funding allocations are distributed based on this school-age population data.</w:t>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77599B" w:rsidP="00180ADD">
      <w:pPr>
        <w:tabs>
          <w:tab w:val="left" w:pos="6480"/>
        </w:tabs>
        <w:spacing w:after="0" w:line="240" w:lineRule="auto"/>
        <w:rPr>
          <w:rFonts w:ascii="Times New Roman" w:hAnsi="Times New Roman" w:cs="Times New Roman"/>
          <w:sz w:val="24"/>
          <w:szCs w:val="24"/>
        </w:rPr>
      </w:pPr>
      <w:hyperlink r:id="rId10" w:history="1">
        <w:r w:rsidR="00180ADD" w:rsidRPr="00180ADD">
          <w:rPr>
            <w:rStyle w:val="Hyperlink"/>
            <w:rFonts w:ascii="Times New Roman" w:hAnsi="Times New Roman" w:cs="Times New Roman"/>
            <w:sz w:val="24"/>
            <w:szCs w:val="24"/>
          </w:rPr>
          <w:t>Attachment B</w:t>
        </w:r>
      </w:hyperlink>
      <w:r w:rsidR="00180ADD" w:rsidRPr="00180ADD">
        <w:rPr>
          <w:rFonts w:ascii="Times New Roman" w:hAnsi="Times New Roman" w:cs="Times New Roman"/>
          <w:sz w:val="24"/>
          <w:szCs w:val="24"/>
        </w:rPr>
        <w:t xml:space="preserve"> lists the estimated </w:t>
      </w:r>
      <w:r w:rsidR="00B116E4">
        <w:rPr>
          <w:rFonts w:ascii="Times New Roman" w:hAnsi="Times New Roman" w:cs="Times New Roman"/>
          <w:sz w:val="24"/>
          <w:szCs w:val="24"/>
        </w:rPr>
        <w:t>38.83</w:t>
      </w:r>
      <w:r w:rsidR="00180ADD" w:rsidRPr="00180ADD">
        <w:rPr>
          <w:rFonts w:ascii="Times New Roman" w:hAnsi="Times New Roman" w:cs="Times New Roman"/>
          <w:sz w:val="24"/>
          <w:szCs w:val="24"/>
        </w:rPr>
        <w:t xml:space="preserve"> percent of the Perkins funds available to each schoo</w:t>
      </w:r>
      <w:r w:rsidR="00E0433E">
        <w:rPr>
          <w:rFonts w:ascii="Times New Roman" w:hAnsi="Times New Roman" w:cs="Times New Roman"/>
          <w:sz w:val="24"/>
          <w:szCs w:val="24"/>
        </w:rPr>
        <w:t>l division beginning July 1, 2020</w:t>
      </w:r>
      <w:r w:rsidR="00180ADD" w:rsidRPr="00180ADD">
        <w:rPr>
          <w:rFonts w:ascii="Times New Roman" w:hAnsi="Times New Roman" w:cs="Times New Roman"/>
          <w:sz w:val="24"/>
          <w:szCs w:val="24"/>
        </w:rPr>
        <w:t xml:space="preserve">, and the </w:t>
      </w:r>
      <w:r w:rsidR="00B116E4">
        <w:rPr>
          <w:rFonts w:ascii="Times New Roman" w:hAnsi="Times New Roman" w:cs="Times New Roman"/>
          <w:sz w:val="24"/>
          <w:szCs w:val="24"/>
        </w:rPr>
        <w:t>61.17</w:t>
      </w:r>
      <w:r w:rsidR="00180ADD" w:rsidRPr="00180ADD">
        <w:rPr>
          <w:rFonts w:ascii="Times New Roman" w:hAnsi="Times New Roman" w:cs="Times New Roman"/>
          <w:sz w:val="24"/>
          <w:szCs w:val="24"/>
        </w:rPr>
        <w:t xml:space="preserve"> percent of the funds available on </w:t>
      </w:r>
    </w:p>
    <w:p w:rsidR="00180ADD" w:rsidRPr="00180ADD" w:rsidRDefault="00E0433E" w:rsidP="00180ADD">
      <w:pPr>
        <w:tabs>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October 1, 2020</w:t>
      </w:r>
      <w:r w:rsidR="00180ADD" w:rsidRPr="00180ADD">
        <w:rPr>
          <w:rFonts w:ascii="Times New Roman" w:hAnsi="Times New Roman" w:cs="Times New Roman"/>
          <w:sz w:val="24"/>
          <w:szCs w:val="24"/>
        </w:rPr>
        <w:t>.  All of these funds will be distributed on a reimbursement basis and are available through June 30, 20</w:t>
      </w:r>
      <w:r>
        <w:rPr>
          <w:rFonts w:ascii="Times New Roman" w:hAnsi="Times New Roman" w:cs="Times New Roman"/>
          <w:sz w:val="24"/>
          <w:szCs w:val="24"/>
        </w:rPr>
        <w:t>21</w:t>
      </w:r>
      <w:r w:rsidR="00180ADD" w:rsidRPr="00180ADD">
        <w:rPr>
          <w:rFonts w:ascii="Times New Roman" w:hAnsi="Times New Roman" w:cs="Times New Roman"/>
          <w:sz w:val="24"/>
          <w:szCs w:val="24"/>
        </w:rPr>
        <w:t xml:space="preserve">.  Because the state cannot expend more than </w:t>
      </w:r>
      <w:r w:rsidR="00B116E4">
        <w:rPr>
          <w:rFonts w:ascii="Times New Roman" w:hAnsi="Times New Roman" w:cs="Times New Roman"/>
          <w:sz w:val="24"/>
          <w:szCs w:val="24"/>
        </w:rPr>
        <w:t>38.83</w:t>
      </w:r>
      <w:r w:rsidR="00180ADD" w:rsidRPr="00180ADD">
        <w:rPr>
          <w:rFonts w:ascii="Times New Roman" w:hAnsi="Times New Roman" w:cs="Times New Roman"/>
          <w:sz w:val="24"/>
          <w:szCs w:val="24"/>
        </w:rPr>
        <w:t xml:space="preserve"> percent of local allocations during the </w:t>
      </w:r>
      <w:r>
        <w:rPr>
          <w:rFonts w:ascii="Times New Roman" w:hAnsi="Times New Roman" w:cs="Times New Roman"/>
          <w:sz w:val="24"/>
          <w:szCs w:val="24"/>
        </w:rPr>
        <w:t>July 1 through September 30, 2020</w:t>
      </w:r>
      <w:r w:rsidR="00180ADD" w:rsidRPr="00180ADD">
        <w:rPr>
          <w:rFonts w:ascii="Times New Roman" w:hAnsi="Times New Roman" w:cs="Times New Roman"/>
          <w:sz w:val="24"/>
          <w:szCs w:val="24"/>
        </w:rPr>
        <w:t xml:space="preserve">, time period, funds will be distributed on a reimbursement basis for actual expenditures during this period not to exceed the </w:t>
      </w:r>
      <w:r w:rsidR="00B116E4">
        <w:rPr>
          <w:rFonts w:ascii="Times New Roman" w:hAnsi="Times New Roman" w:cs="Times New Roman"/>
          <w:sz w:val="24"/>
          <w:szCs w:val="24"/>
        </w:rPr>
        <w:t>38.83</w:t>
      </w:r>
      <w:r w:rsidR="00180ADD" w:rsidRPr="00180ADD">
        <w:rPr>
          <w:rFonts w:ascii="Times New Roman" w:hAnsi="Times New Roman" w:cs="Times New Roman"/>
          <w:sz w:val="24"/>
          <w:szCs w:val="24"/>
        </w:rPr>
        <w:t xml:space="preserve"> percent allocation.</w:t>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 xml:space="preserve">Reimbursement requests and object code line budgets for Perkins CTE funds must be submitted through the VDOE Single Sign-on for Web Systems (SSWS) portal using the Online Management of Education Grant Awards (OMEGA) application.  All expenditures must be consistent with the approved </w:t>
      </w:r>
      <w:r w:rsidR="00E05591">
        <w:rPr>
          <w:rFonts w:ascii="Times New Roman" w:hAnsi="Times New Roman" w:cs="Times New Roman"/>
          <w:sz w:val="24"/>
          <w:szCs w:val="24"/>
        </w:rPr>
        <w:t xml:space="preserve">CTE </w:t>
      </w:r>
      <w:r w:rsidRPr="00180ADD">
        <w:rPr>
          <w:rFonts w:ascii="Times New Roman" w:hAnsi="Times New Roman" w:cs="Times New Roman"/>
          <w:sz w:val="24"/>
          <w:szCs w:val="24"/>
        </w:rPr>
        <w:t>local plan and budget for school year 20</w:t>
      </w:r>
      <w:r w:rsidR="00E0433E">
        <w:rPr>
          <w:rFonts w:ascii="Times New Roman" w:hAnsi="Times New Roman" w:cs="Times New Roman"/>
          <w:sz w:val="24"/>
          <w:szCs w:val="24"/>
        </w:rPr>
        <w:t>20</w:t>
      </w:r>
      <w:r w:rsidRPr="00180ADD">
        <w:rPr>
          <w:rFonts w:ascii="Times New Roman" w:hAnsi="Times New Roman" w:cs="Times New Roman"/>
          <w:sz w:val="24"/>
          <w:szCs w:val="24"/>
        </w:rPr>
        <w:t>-20</w:t>
      </w:r>
      <w:r w:rsidR="00E0433E">
        <w:rPr>
          <w:rFonts w:ascii="Times New Roman" w:hAnsi="Times New Roman" w:cs="Times New Roman"/>
          <w:sz w:val="24"/>
          <w:szCs w:val="24"/>
        </w:rPr>
        <w:t>21</w:t>
      </w:r>
      <w:r w:rsidRPr="00180ADD">
        <w:rPr>
          <w:rFonts w:ascii="Times New Roman" w:hAnsi="Times New Roman" w:cs="Times New Roman"/>
          <w:sz w:val="24"/>
          <w:szCs w:val="24"/>
        </w:rPr>
        <w:t>.  Reimbursement requests must be submitted no later than September 30, 20</w:t>
      </w:r>
      <w:r w:rsidR="00E0433E">
        <w:rPr>
          <w:rFonts w:ascii="Times New Roman" w:hAnsi="Times New Roman" w:cs="Times New Roman"/>
          <w:sz w:val="24"/>
          <w:szCs w:val="24"/>
        </w:rPr>
        <w:t>21</w:t>
      </w:r>
      <w:r w:rsidRPr="00180ADD">
        <w:rPr>
          <w:rFonts w:ascii="Times New Roman" w:hAnsi="Times New Roman" w:cs="Times New Roman"/>
          <w:sz w:val="24"/>
          <w:szCs w:val="24"/>
        </w:rPr>
        <w:t>, and must cover expenditures that were made during school year 20</w:t>
      </w:r>
      <w:r w:rsidR="00E0433E">
        <w:rPr>
          <w:rFonts w:ascii="Times New Roman" w:hAnsi="Times New Roman" w:cs="Times New Roman"/>
          <w:sz w:val="24"/>
          <w:szCs w:val="24"/>
        </w:rPr>
        <w:t>20</w:t>
      </w:r>
      <w:r w:rsidRPr="00180ADD">
        <w:rPr>
          <w:rFonts w:ascii="Times New Roman" w:hAnsi="Times New Roman" w:cs="Times New Roman"/>
          <w:sz w:val="24"/>
          <w:szCs w:val="24"/>
        </w:rPr>
        <w:t>-20</w:t>
      </w:r>
      <w:r w:rsidR="00E0433E">
        <w:rPr>
          <w:rFonts w:ascii="Times New Roman" w:hAnsi="Times New Roman" w:cs="Times New Roman"/>
          <w:sz w:val="24"/>
          <w:szCs w:val="24"/>
        </w:rPr>
        <w:t>21</w:t>
      </w:r>
      <w:r w:rsidRPr="00180ADD">
        <w:rPr>
          <w:rFonts w:ascii="Times New Roman" w:hAnsi="Times New Roman" w:cs="Times New Roman"/>
          <w:sz w:val="24"/>
          <w:szCs w:val="24"/>
        </w:rPr>
        <w:t xml:space="preserve"> (July 1, 20</w:t>
      </w:r>
      <w:r w:rsidR="00E0433E">
        <w:rPr>
          <w:rFonts w:ascii="Times New Roman" w:hAnsi="Times New Roman" w:cs="Times New Roman"/>
          <w:sz w:val="24"/>
          <w:szCs w:val="24"/>
        </w:rPr>
        <w:t>20</w:t>
      </w:r>
      <w:r w:rsidRPr="00180ADD">
        <w:rPr>
          <w:rFonts w:ascii="Times New Roman" w:hAnsi="Times New Roman" w:cs="Times New Roman"/>
          <w:sz w:val="24"/>
          <w:szCs w:val="24"/>
        </w:rPr>
        <w:t xml:space="preserve"> through </w:t>
      </w:r>
      <w:r w:rsidR="00E0433E">
        <w:rPr>
          <w:rFonts w:ascii="Times New Roman" w:hAnsi="Times New Roman" w:cs="Times New Roman"/>
          <w:sz w:val="24"/>
          <w:szCs w:val="24"/>
        </w:rPr>
        <w:br/>
      </w:r>
      <w:r w:rsidRPr="00180ADD">
        <w:rPr>
          <w:rFonts w:ascii="Times New Roman" w:hAnsi="Times New Roman" w:cs="Times New Roman"/>
          <w:sz w:val="24"/>
          <w:szCs w:val="24"/>
        </w:rPr>
        <w:t>June 30, 20</w:t>
      </w:r>
      <w:r w:rsidR="00930033">
        <w:rPr>
          <w:rFonts w:ascii="Times New Roman" w:hAnsi="Times New Roman" w:cs="Times New Roman"/>
          <w:sz w:val="24"/>
          <w:szCs w:val="24"/>
        </w:rPr>
        <w:t>2</w:t>
      </w:r>
      <w:r w:rsidR="00E0433E">
        <w:rPr>
          <w:rFonts w:ascii="Times New Roman" w:hAnsi="Times New Roman" w:cs="Times New Roman"/>
          <w:sz w:val="24"/>
          <w:szCs w:val="24"/>
        </w:rPr>
        <w:t>1</w:t>
      </w:r>
      <w:r w:rsidRPr="00180ADD">
        <w:rPr>
          <w:rFonts w:ascii="Times New Roman" w:hAnsi="Times New Roman" w:cs="Times New Roman"/>
          <w:sz w:val="24"/>
          <w:szCs w:val="24"/>
        </w:rPr>
        <w:t>).</w:t>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Documentation of any reimbursement claims must be retained in the school division and must be available for audit in accordance with state regulations governing the retention of financial records.</w:t>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 xml:space="preserve">If you have any questions, please contact George R. Willcox, Director, </w:t>
      </w:r>
      <w:r w:rsidR="006B19A1">
        <w:rPr>
          <w:rFonts w:ascii="Times New Roman" w:hAnsi="Times New Roman" w:cs="Times New Roman"/>
          <w:sz w:val="24"/>
          <w:szCs w:val="24"/>
        </w:rPr>
        <w:t>Operations an</w:t>
      </w:r>
      <w:r w:rsidR="006417FF">
        <w:rPr>
          <w:rFonts w:ascii="Times New Roman" w:hAnsi="Times New Roman" w:cs="Times New Roman"/>
          <w:sz w:val="24"/>
          <w:szCs w:val="24"/>
        </w:rPr>
        <w:t>d Accountability; or Dr. David Eshelman, Director, Workforce Development and Initiatives,</w:t>
      </w:r>
      <w:r w:rsidR="006B19A1">
        <w:rPr>
          <w:rFonts w:ascii="Times New Roman" w:hAnsi="Times New Roman" w:cs="Times New Roman"/>
          <w:sz w:val="24"/>
          <w:szCs w:val="24"/>
        </w:rPr>
        <w:t xml:space="preserve"> </w:t>
      </w:r>
      <w:r w:rsidRPr="00180ADD">
        <w:rPr>
          <w:rFonts w:ascii="Times New Roman" w:hAnsi="Times New Roman" w:cs="Times New Roman"/>
          <w:sz w:val="24"/>
          <w:szCs w:val="24"/>
        </w:rPr>
        <w:t xml:space="preserve">Office of Career, Technical, and Adult Education, at </w:t>
      </w:r>
      <w:hyperlink r:id="rId11" w:history="1">
        <w:r w:rsidRPr="00180ADD">
          <w:rPr>
            <w:rStyle w:val="Hyperlink"/>
            <w:rFonts w:ascii="Times New Roman" w:hAnsi="Times New Roman" w:cs="Times New Roman"/>
            <w:sz w:val="24"/>
            <w:szCs w:val="24"/>
          </w:rPr>
          <w:t>CTE@doe.virginia.gov</w:t>
        </w:r>
      </w:hyperlink>
      <w:r w:rsidRPr="00180ADD">
        <w:rPr>
          <w:rFonts w:ascii="Times New Roman" w:hAnsi="Times New Roman" w:cs="Times New Roman"/>
          <w:sz w:val="24"/>
          <w:szCs w:val="24"/>
        </w:rPr>
        <w:t xml:space="preserve"> or by telephone at (804) 225-2052.</w:t>
      </w:r>
    </w:p>
    <w:p w:rsidR="00554387" w:rsidRPr="00B27D94" w:rsidRDefault="00554387" w:rsidP="000B64E3">
      <w:pPr>
        <w:tabs>
          <w:tab w:val="left" w:pos="1440"/>
          <w:tab w:val="left" w:pos="7920"/>
          <w:tab w:val="left" w:pos="10800"/>
        </w:tabs>
        <w:spacing w:after="0" w:line="240" w:lineRule="auto"/>
        <w:contextualSpacing/>
        <w:rPr>
          <w:rFonts w:ascii="Times New Roman" w:hAnsi="Times New Roman" w:cs="Times New Roman"/>
          <w:sz w:val="16"/>
          <w:szCs w:val="16"/>
        </w:rPr>
      </w:pPr>
    </w:p>
    <w:p w:rsidR="00554387" w:rsidRPr="007C7856" w:rsidRDefault="007C7856" w:rsidP="000B64E3">
      <w:pPr>
        <w:tabs>
          <w:tab w:val="left" w:pos="1440"/>
          <w:tab w:val="left" w:pos="7920"/>
          <w:tab w:val="left" w:pos="108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JFL</w:t>
      </w:r>
      <w:r w:rsidR="00554387" w:rsidRPr="007C7856">
        <w:rPr>
          <w:rFonts w:ascii="Times New Roman" w:hAnsi="Times New Roman" w:cs="Times New Roman"/>
          <w:sz w:val="24"/>
          <w:szCs w:val="24"/>
        </w:rPr>
        <w:t>/</w:t>
      </w:r>
      <w:r w:rsidR="00C74692" w:rsidRPr="007C7856">
        <w:rPr>
          <w:rFonts w:ascii="Times New Roman" w:hAnsi="Times New Roman" w:cs="Times New Roman"/>
          <w:sz w:val="24"/>
          <w:szCs w:val="24"/>
        </w:rPr>
        <w:t>GRW</w:t>
      </w:r>
      <w:r w:rsidR="00554387" w:rsidRPr="007C7856">
        <w:rPr>
          <w:rFonts w:ascii="Times New Roman" w:hAnsi="Times New Roman" w:cs="Times New Roman"/>
          <w:sz w:val="24"/>
          <w:szCs w:val="24"/>
        </w:rPr>
        <w:t>/</w:t>
      </w:r>
      <w:proofErr w:type="spellStart"/>
      <w:r w:rsidR="00D40D48">
        <w:rPr>
          <w:rFonts w:ascii="Times New Roman" w:hAnsi="Times New Roman" w:cs="Times New Roman"/>
          <w:sz w:val="24"/>
          <w:szCs w:val="24"/>
        </w:rPr>
        <w:t>jts</w:t>
      </w:r>
      <w:proofErr w:type="spellEnd"/>
    </w:p>
    <w:p w:rsidR="00554387" w:rsidRPr="00B27D94" w:rsidRDefault="00554387" w:rsidP="000B64E3">
      <w:pPr>
        <w:tabs>
          <w:tab w:val="left" w:pos="1440"/>
          <w:tab w:val="left" w:pos="7920"/>
          <w:tab w:val="left" w:pos="10800"/>
        </w:tabs>
        <w:spacing w:after="0" w:line="240" w:lineRule="auto"/>
        <w:contextualSpacing/>
        <w:rPr>
          <w:rFonts w:ascii="Times New Roman" w:hAnsi="Times New Roman" w:cs="Times New Roman"/>
          <w:sz w:val="16"/>
          <w:szCs w:val="16"/>
        </w:rPr>
      </w:pPr>
    </w:p>
    <w:p w:rsidR="00554387" w:rsidRDefault="00554387" w:rsidP="000B64E3">
      <w:pPr>
        <w:tabs>
          <w:tab w:val="left" w:pos="1440"/>
          <w:tab w:val="left" w:pos="7920"/>
          <w:tab w:val="left" w:pos="10800"/>
        </w:tabs>
        <w:spacing w:after="0" w:line="240" w:lineRule="auto"/>
        <w:contextualSpacing/>
        <w:rPr>
          <w:rFonts w:ascii="Times New Roman" w:hAnsi="Times New Roman" w:cs="Times New Roman"/>
          <w:sz w:val="24"/>
          <w:szCs w:val="24"/>
        </w:rPr>
      </w:pPr>
      <w:r w:rsidRPr="007C7856">
        <w:rPr>
          <w:rFonts w:ascii="Times New Roman" w:hAnsi="Times New Roman" w:cs="Times New Roman"/>
          <w:sz w:val="24"/>
          <w:szCs w:val="24"/>
        </w:rPr>
        <w:t>Attachment</w:t>
      </w:r>
      <w:r w:rsidR="00180ADD">
        <w:rPr>
          <w:rFonts w:ascii="Times New Roman" w:hAnsi="Times New Roman" w:cs="Times New Roman"/>
          <w:sz w:val="24"/>
          <w:szCs w:val="24"/>
        </w:rPr>
        <w:t>s</w:t>
      </w:r>
      <w:r w:rsidRPr="007C7856">
        <w:rPr>
          <w:rFonts w:ascii="Times New Roman" w:hAnsi="Times New Roman" w:cs="Times New Roman"/>
          <w:sz w:val="24"/>
          <w:szCs w:val="24"/>
        </w:rPr>
        <w:t>:</w:t>
      </w:r>
    </w:p>
    <w:p w:rsidR="00180ADD" w:rsidRPr="007C7856" w:rsidRDefault="00180ADD" w:rsidP="000B64E3">
      <w:pPr>
        <w:tabs>
          <w:tab w:val="left" w:pos="1440"/>
          <w:tab w:val="left" w:pos="7920"/>
          <w:tab w:val="left" w:pos="10800"/>
        </w:tabs>
        <w:spacing w:after="0" w:line="240" w:lineRule="auto"/>
        <w:contextualSpacing/>
        <w:rPr>
          <w:rFonts w:ascii="Times New Roman" w:hAnsi="Times New Roman" w:cs="Times New Roman"/>
          <w:sz w:val="24"/>
          <w:szCs w:val="24"/>
        </w:rPr>
      </w:pPr>
    </w:p>
    <w:p w:rsidR="00180ADD" w:rsidRDefault="0077599B" w:rsidP="00180ADD">
      <w:pPr>
        <w:numPr>
          <w:ilvl w:val="0"/>
          <w:numId w:val="9"/>
        </w:numPr>
        <w:tabs>
          <w:tab w:val="left" w:pos="1080"/>
        </w:tabs>
        <w:spacing w:after="0" w:line="240" w:lineRule="auto"/>
        <w:ind w:left="630" w:firstLine="0"/>
        <w:rPr>
          <w:rFonts w:ascii="Times New Roman" w:hAnsi="Times New Roman" w:cs="Times New Roman"/>
          <w:sz w:val="24"/>
          <w:szCs w:val="24"/>
        </w:rPr>
      </w:pPr>
      <w:hyperlink r:id="rId12" w:history="1">
        <w:r w:rsidR="00E0433E" w:rsidRPr="0077599B">
          <w:rPr>
            <w:rStyle w:val="Hyperlink"/>
            <w:rFonts w:ascii="Times New Roman" w:hAnsi="Times New Roman" w:cs="Times New Roman"/>
            <w:sz w:val="24"/>
            <w:szCs w:val="24"/>
          </w:rPr>
          <w:t>Total School Year 2020</w:t>
        </w:r>
        <w:r w:rsidR="00180ADD" w:rsidRPr="0077599B">
          <w:rPr>
            <w:rStyle w:val="Hyperlink"/>
            <w:rFonts w:ascii="Times New Roman" w:hAnsi="Times New Roman" w:cs="Times New Roman"/>
            <w:sz w:val="24"/>
            <w:szCs w:val="24"/>
          </w:rPr>
          <w:t>-20</w:t>
        </w:r>
        <w:r w:rsidR="00E0433E" w:rsidRPr="0077599B">
          <w:rPr>
            <w:rStyle w:val="Hyperlink"/>
            <w:rFonts w:ascii="Times New Roman" w:hAnsi="Times New Roman" w:cs="Times New Roman"/>
            <w:sz w:val="24"/>
            <w:szCs w:val="24"/>
          </w:rPr>
          <w:t>21</w:t>
        </w:r>
        <w:r w:rsidR="00180ADD" w:rsidRPr="0077599B">
          <w:rPr>
            <w:rStyle w:val="Hyperlink"/>
            <w:rFonts w:ascii="Times New Roman" w:hAnsi="Times New Roman" w:cs="Times New Roman"/>
            <w:sz w:val="24"/>
            <w:szCs w:val="24"/>
          </w:rPr>
          <w:t xml:space="preserve"> Perkins Fund Allocations</w:t>
        </w:r>
      </w:hyperlink>
      <w:r w:rsidR="00180ADD" w:rsidRPr="00E0433E">
        <w:rPr>
          <w:rFonts w:ascii="Times New Roman" w:hAnsi="Times New Roman" w:cs="Times New Roman"/>
          <w:sz w:val="24"/>
          <w:szCs w:val="24"/>
        </w:rPr>
        <w:t xml:space="preserve"> </w:t>
      </w:r>
      <w:r w:rsidR="00C64608" w:rsidRPr="00E0433E">
        <w:rPr>
          <w:rFonts w:ascii="Times New Roman" w:hAnsi="Times New Roman" w:cs="Times New Roman"/>
          <w:sz w:val="24"/>
          <w:szCs w:val="24"/>
        </w:rPr>
        <w:t>(Word)</w:t>
      </w:r>
    </w:p>
    <w:p w:rsidR="003C5D6D" w:rsidRPr="007C7856" w:rsidRDefault="0077599B" w:rsidP="007D6790">
      <w:pPr>
        <w:numPr>
          <w:ilvl w:val="0"/>
          <w:numId w:val="9"/>
        </w:numPr>
        <w:tabs>
          <w:tab w:val="left" w:pos="1080"/>
        </w:tabs>
        <w:spacing w:after="0" w:line="240" w:lineRule="auto"/>
        <w:ind w:left="1080" w:hanging="450"/>
        <w:rPr>
          <w:rFonts w:ascii="Times New Roman" w:hAnsi="Times New Roman" w:cs="Times New Roman"/>
          <w:sz w:val="24"/>
          <w:szCs w:val="24"/>
        </w:rPr>
      </w:pPr>
      <w:hyperlink r:id="rId13" w:history="1">
        <w:r w:rsidR="007D6790" w:rsidRPr="0077599B">
          <w:rPr>
            <w:rStyle w:val="Hyperlink"/>
            <w:rFonts w:ascii="Times New Roman" w:hAnsi="Times New Roman" w:cs="Times New Roman"/>
            <w:sz w:val="24"/>
            <w:szCs w:val="24"/>
          </w:rPr>
          <w:t>Perkins Funds Available Beginning July 1, 2020 (38.83 percent) and Funds Available on October 1, 2020 (61.17 percent)</w:t>
        </w:r>
      </w:hyperlink>
      <w:r w:rsidR="00437F36">
        <w:rPr>
          <w:rFonts w:ascii="Times New Roman" w:hAnsi="Times New Roman" w:cs="Times New Roman"/>
          <w:sz w:val="24"/>
          <w:szCs w:val="24"/>
        </w:rPr>
        <w:t xml:space="preserve"> (Word)</w:t>
      </w:r>
    </w:p>
    <w:sectPr w:rsidR="003C5D6D" w:rsidRPr="007C7856" w:rsidSect="009F2FA7">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4CC"/>
    <w:multiLevelType w:val="hybridMultilevel"/>
    <w:tmpl w:val="F2E6EB84"/>
    <w:lvl w:ilvl="0" w:tplc="DFB6E5F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97F90"/>
    <w:multiLevelType w:val="hybridMultilevel"/>
    <w:tmpl w:val="FC6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43F"/>
    <w:multiLevelType w:val="hybridMultilevel"/>
    <w:tmpl w:val="FD92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96F7E"/>
    <w:multiLevelType w:val="hybridMultilevel"/>
    <w:tmpl w:val="1900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0630E"/>
    <w:multiLevelType w:val="hybridMultilevel"/>
    <w:tmpl w:val="9BAA6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A113D"/>
    <w:multiLevelType w:val="hybridMultilevel"/>
    <w:tmpl w:val="261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B2A2E"/>
    <w:multiLevelType w:val="hybridMultilevel"/>
    <w:tmpl w:val="A84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601B9"/>
    <w:multiLevelType w:val="hybridMultilevel"/>
    <w:tmpl w:val="0E1C8A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C29377C"/>
    <w:multiLevelType w:val="hybridMultilevel"/>
    <w:tmpl w:val="39A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6"/>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19"/>
    <w:rsid w:val="0002085D"/>
    <w:rsid w:val="000244D2"/>
    <w:rsid w:val="000407AC"/>
    <w:rsid w:val="00053C73"/>
    <w:rsid w:val="000A6502"/>
    <w:rsid w:val="000B64E3"/>
    <w:rsid w:val="000E45B8"/>
    <w:rsid w:val="001137C5"/>
    <w:rsid w:val="00143EF3"/>
    <w:rsid w:val="00155C7F"/>
    <w:rsid w:val="00166A76"/>
    <w:rsid w:val="00166B2C"/>
    <w:rsid w:val="001700CC"/>
    <w:rsid w:val="0017087A"/>
    <w:rsid w:val="00180ADD"/>
    <w:rsid w:val="001A7219"/>
    <w:rsid w:val="001F4138"/>
    <w:rsid w:val="002171DA"/>
    <w:rsid w:val="00256AAC"/>
    <w:rsid w:val="00261972"/>
    <w:rsid w:val="00271FEC"/>
    <w:rsid w:val="002A3031"/>
    <w:rsid w:val="002B1DCD"/>
    <w:rsid w:val="002B6ED1"/>
    <w:rsid w:val="002C4F17"/>
    <w:rsid w:val="002E5E62"/>
    <w:rsid w:val="002E7D2A"/>
    <w:rsid w:val="00301BD3"/>
    <w:rsid w:val="00313889"/>
    <w:rsid w:val="003345B7"/>
    <w:rsid w:val="00355F41"/>
    <w:rsid w:val="00392EB7"/>
    <w:rsid w:val="003B6EA7"/>
    <w:rsid w:val="003C1757"/>
    <w:rsid w:val="003C1931"/>
    <w:rsid w:val="003C5D6D"/>
    <w:rsid w:val="003D1B12"/>
    <w:rsid w:val="003F4366"/>
    <w:rsid w:val="00406CAA"/>
    <w:rsid w:val="00437F36"/>
    <w:rsid w:val="00447810"/>
    <w:rsid w:val="004617F9"/>
    <w:rsid w:val="004704D2"/>
    <w:rsid w:val="00472EBC"/>
    <w:rsid w:val="004964FB"/>
    <w:rsid w:val="004A30D7"/>
    <w:rsid w:val="00554387"/>
    <w:rsid w:val="0056542C"/>
    <w:rsid w:val="00584610"/>
    <w:rsid w:val="006320F5"/>
    <w:rsid w:val="006417FF"/>
    <w:rsid w:val="006427F9"/>
    <w:rsid w:val="0067487D"/>
    <w:rsid w:val="006B19A1"/>
    <w:rsid w:val="006B5E0D"/>
    <w:rsid w:val="006D388C"/>
    <w:rsid w:val="006D4EC3"/>
    <w:rsid w:val="006D7DAD"/>
    <w:rsid w:val="0070039C"/>
    <w:rsid w:val="00711B54"/>
    <w:rsid w:val="007146D8"/>
    <w:rsid w:val="00720503"/>
    <w:rsid w:val="00730F62"/>
    <w:rsid w:val="00740CE5"/>
    <w:rsid w:val="0074100F"/>
    <w:rsid w:val="00752522"/>
    <w:rsid w:val="00760FB8"/>
    <w:rsid w:val="0077599B"/>
    <w:rsid w:val="007868C4"/>
    <w:rsid w:val="007A28F8"/>
    <w:rsid w:val="007B3CCF"/>
    <w:rsid w:val="007B4564"/>
    <w:rsid w:val="007C3643"/>
    <w:rsid w:val="007C7856"/>
    <w:rsid w:val="007D6439"/>
    <w:rsid w:val="007D6790"/>
    <w:rsid w:val="007F0069"/>
    <w:rsid w:val="00820EE1"/>
    <w:rsid w:val="00840276"/>
    <w:rsid w:val="0087365D"/>
    <w:rsid w:val="008A52E5"/>
    <w:rsid w:val="008C774B"/>
    <w:rsid w:val="008D21EA"/>
    <w:rsid w:val="008D4607"/>
    <w:rsid w:val="008D7146"/>
    <w:rsid w:val="008F17F5"/>
    <w:rsid w:val="00926ABB"/>
    <w:rsid w:val="00930033"/>
    <w:rsid w:val="0095577E"/>
    <w:rsid w:val="00967F20"/>
    <w:rsid w:val="00971074"/>
    <w:rsid w:val="009712B1"/>
    <w:rsid w:val="009723C9"/>
    <w:rsid w:val="00973422"/>
    <w:rsid w:val="009744EB"/>
    <w:rsid w:val="00974698"/>
    <w:rsid w:val="0099469B"/>
    <w:rsid w:val="009B13E0"/>
    <w:rsid w:val="009D06E0"/>
    <w:rsid w:val="009F2FA7"/>
    <w:rsid w:val="00A07003"/>
    <w:rsid w:val="00A41E4A"/>
    <w:rsid w:val="00A611C0"/>
    <w:rsid w:val="00A71230"/>
    <w:rsid w:val="00A807CA"/>
    <w:rsid w:val="00A94F9A"/>
    <w:rsid w:val="00A95820"/>
    <w:rsid w:val="00A96D52"/>
    <w:rsid w:val="00AB7508"/>
    <w:rsid w:val="00B116E4"/>
    <w:rsid w:val="00B168AC"/>
    <w:rsid w:val="00B2127A"/>
    <w:rsid w:val="00B27D94"/>
    <w:rsid w:val="00B34042"/>
    <w:rsid w:val="00B419A1"/>
    <w:rsid w:val="00B5588F"/>
    <w:rsid w:val="00B57E3E"/>
    <w:rsid w:val="00B719AF"/>
    <w:rsid w:val="00B725A4"/>
    <w:rsid w:val="00B72862"/>
    <w:rsid w:val="00B7772D"/>
    <w:rsid w:val="00B86905"/>
    <w:rsid w:val="00BA7F80"/>
    <w:rsid w:val="00BC2939"/>
    <w:rsid w:val="00BD4615"/>
    <w:rsid w:val="00BE2E12"/>
    <w:rsid w:val="00C0208C"/>
    <w:rsid w:val="00C05967"/>
    <w:rsid w:val="00C10D17"/>
    <w:rsid w:val="00C21C1F"/>
    <w:rsid w:val="00C31156"/>
    <w:rsid w:val="00C60041"/>
    <w:rsid w:val="00C64608"/>
    <w:rsid w:val="00C6689B"/>
    <w:rsid w:val="00C74692"/>
    <w:rsid w:val="00CD3848"/>
    <w:rsid w:val="00CD4501"/>
    <w:rsid w:val="00CF5807"/>
    <w:rsid w:val="00D0439D"/>
    <w:rsid w:val="00D13E09"/>
    <w:rsid w:val="00D324E9"/>
    <w:rsid w:val="00D3483F"/>
    <w:rsid w:val="00D40D48"/>
    <w:rsid w:val="00D41E48"/>
    <w:rsid w:val="00D43C01"/>
    <w:rsid w:val="00D60EBA"/>
    <w:rsid w:val="00DB491A"/>
    <w:rsid w:val="00DD724E"/>
    <w:rsid w:val="00E0433E"/>
    <w:rsid w:val="00E05591"/>
    <w:rsid w:val="00E06142"/>
    <w:rsid w:val="00E3138B"/>
    <w:rsid w:val="00E35D47"/>
    <w:rsid w:val="00E4567D"/>
    <w:rsid w:val="00E6437D"/>
    <w:rsid w:val="00E64547"/>
    <w:rsid w:val="00E772E6"/>
    <w:rsid w:val="00EB24AB"/>
    <w:rsid w:val="00EB6B91"/>
    <w:rsid w:val="00EC2F0F"/>
    <w:rsid w:val="00ED54A2"/>
    <w:rsid w:val="00EE3604"/>
    <w:rsid w:val="00F04CE8"/>
    <w:rsid w:val="00F05746"/>
    <w:rsid w:val="00F24FD6"/>
    <w:rsid w:val="00F70152"/>
    <w:rsid w:val="00F76DBE"/>
    <w:rsid w:val="00F84702"/>
    <w:rsid w:val="00FA0A08"/>
    <w:rsid w:val="00FC49EE"/>
    <w:rsid w:val="00FD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B7A84-D4C3-4B4F-802C-38E74ACC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7C7856"/>
    <w:pPr>
      <w:pBdr>
        <w:bottom w:val="none" w:sz="0" w:space="0" w:color="auto"/>
      </w:pBdr>
      <w:spacing w:after="0"/>
      <w:ind w:left="1440" w:hanging="1440"/>
      <w:contextualSpacing w:val="0"/>
      <w:outlineLvl w:val="0"/>
    </w:pPr>
    <w:rPr>
      <w:rFonts w:ascii="Times New Roman" w:eastAsia="Times New Roman" w:hAnsi="Times New Roman" w:cs="Times New Roman"/>
      <w:b/>
      <w:bCs/>
      <w:color w:val="auto"/>
      <w:spacing w:val="0"/>
      <w:kern w:val="0"/>
      <w:sz w:val="24"/>
      <w:szCs w:val="24"/>
    </w:rPr>
  </w:style>
  <w:style w:type="paragraph" w:styleId="Heading2">
    <w:name w:val="heading 2"/>
    <w:basedOn w:val="Normal"/>
    <w:next w:val="Normal"/>
    <w:link w:val="Heading2Char"/>
    <w:uiPriority w:val="9"/>
    <w:unhideWhenUsed/>
    <w:qFormat/>
    <w:rsid w:val="007C78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87"/>
    <w:rPr>
      <w:color w:val="0000FF" w:themeColor="hyperlink"/>
      <w:u w:val="single"/>
    </w:rPr>
  </w:style>
  <w:style w:type="paragraph" w:styleId="ListParagraph">
    <w:name w:val="List Paragraph"/>
    <w:basedOn w:val="Normal"/>
    <w:uiPriority w:val="34"/>
    <w:qFormat/>
    <w:rsid w:val="007D6439"/>
    <w:pPr>
      <w:ind w:left="720"/>
      <w:contextualSpacing/>
    </w:pPr>
  </w:style>
  <w:style w:type="character" w:styleId="FollowedHyperlink">
    <w:name w:val="FollowedHyperlink"/>
    <w:basedOn w:val="DefaultParagraphFont"/>
    <w:uiPriority w:val="99"/>
    <w:semiHidden/>
    <w:unhideWhenUsed/>
    <w:rsid w:val="00E4567D"/>
    <w:rPr>
      <w:color w:val="800080" w:themeColor="followedHyperlink"/>
      <w:u w:val="single"/>
    </w:rPr>
  </w:style>
  <w:style w:type="character" w:customStyle="1" w:styleId="Heading1Char">
    <w:name w:val="Heading 1 Char"/>
    <w:basedOn w:val="DefaultParagraphFont"/>
    <w:link w:val="Heading1"/>
    <w:uiPriority w:val="9"/>
    <w:rsid w:val="007C785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C785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C7856"/>
    <w:rPr>
      <w:b/>
      <w:bCs/>
    </w:rPr>
  </w:style>
  <w:style w:type="paragraph" w:styleId="Title">
    <w:name w:val="Title"/>
    <w:basedOn w:val="Normal"/>
    <w:next w:val="Normal"/>
    <w:link w:val="TitleChar"/>
    <w:uiPriority w:val="10"/>
    <w:qFormat/>
    <w:rsid w:val="007C78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78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datasets/2018/demo/saipe/2018-school-districts.html" TargetMode="External"/><Relationship Id="rId13" Type="http://schemas.openxmlformats.org/officeDocument/2006/relationships/hyperlink" Target="http://doe.virginia.gov/administrators/superintendents_memos/2020/123-20b.docx" TargetMode="External"/><Relationship Id="rId3" Type="http://schemas.openxmlformats.org/officeDocument/2006/relationships/settings" Target="settings.xml"/><Relationship Id="rId7" Type="http://schemas.openxmlformats.org/officeDocument/2006/relationships/hyperlink" Target="http://doe.virginia.gov/administrators/superintendents_memos/2020/123-20a.docx" TargetMode="External"/><Relationship Id="rId12" Type="http://schemas.openxmlformats.org/officeDocument/2006/relationships/hyperlink" Target="http://doe.virginia.gov/administrators/superintendents_memos/2020/123-20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CTE@doe.virginia.gov" TargetMode="External"/><Relationship Id="rId5" Type="http://schemas.openxmlformats.org/officeDocument/2006/relationships/hyperlink" Target="http://www.doe.virginia.gov/administrators/index.shtml" TargetMode="External"/><Relationship Id="rId15" Type="http://schemas.openxmlformats.org/officeDocument/2006/relationships/theme" Target="theme/theme1.xml"/><Relationship Id="rId10" Type="http://schemas.openxmlformats.org/officeDocument/2006/relationships/hyperlink" Target="http://doe.virginia.gov/administrators/superintendents_memos/2020/123-20b.docx" TargetMode="External"/><Relationship Id="rId4" Type="http://schemas.openxmlformats.org/officeDocument/2006/relationships/webSettings" Target="webSettings.xml"/><Relationship Id="rId9" Type="http://schemas.openxmlformats.org/officeDocument/2006/relationships/hyperlink" Target="https://nces.ed.gov/ccd/pubagency.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Supterintendent's Memo 123-20</vt:lpstr>
    </vt:vector>
  </TitlesOfParts>
  <Company>Virginia IT Infrastructure Partnership</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Supterintendent's Memo 123-20</dc:title>
  <dc:creator>joy.spencer@doe.virginia.gov</dc:creator>
  <cp:lastModifiedBy>Jennings, Laura (DOE)</cp:lastModifiedBy>
  <cp:revision>2</cp:revision>
  <cp:lastPrinted>2020-03-18T14:18:00Z</cp:lastPrinted>
  <dcterms:created xsi:type="dcterms:W3CDTF">2020-05-19T12:23:00Z</dcterms:created>
  <dcterms:modified xsi:type="dcterms:W3CDTF">2020-05-19T12:23:00Z</dcterms:modified>
</cp:coreProperties>
</file>