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58E" w:rsidRPr="00F3758E" w:rsidRDefault="00F3758E" w:rsidP="00F3758E">
      <w:pPr>
        <w:spacing w:after="0" w:line="240" w:lineRule="auto"/>
        <w:jc w:val="right"/>
        <w:rPr>
          <w:rFonts w:eastAsia="Times New Roman" w:cs="Times New Roman"/>
          <w:szCs w:val="24"/>
        </w:rPr>
      </w:pPr>
      <w:r w:rsidRPr="00F3758E">
        <w:rPr>
          <w:rFonts w:eastAsia="Times New Roman" w:cs="Times New Roman"/>
          <w:szCs w:val="24"/>
        </w:rPr>
        <w:t xml:space="preserve">Attachment A, Supt’s Memo No. </w:t>
      </w:r>
      <w:r w:rsidR="003E0CE3">
        <w:rPr>
          <w:rFonts w:eastAsia="Times New Roman" w:cs="Times New Roman"/>
          <w:szCs w:val="24"/>
        </w:rPr>
        <w:t>258</w:t>
      </w:r>
      <w:r w:rsidRPr="00F3758E">
        <w:rPr>
          <w:rFonts w:eastAsia="Times New Roman" w:cs="Times New Roman"/>
          <w:szCs w:val="24"/>
        </w:rPr>
        <w:t>-</w:t>
      </w:r>
      <w:r>
        <w:rPr>
          <w:rFonts w:eastAsia="Times New Roman" w:cs="Times New Roman"/>
          <w:szCs w:val="24"/>
        </w:rPr>
        <w:t>20</w:t>
      </w:r>
    </w:p>
    <w:p w:rsidR="00F3758E" w:rsidRPr="00F3758E" w:rsidRDefault="00474FC6" w:rsidP="00F3758E">
      <w:pPr>
        <w:spacing w:after="0" w:line="240" w:lineRule="auto"/>
        <w:jc w:val="right"/>
        <w:rPr>
          <w:rFonts w:eastAsia="Times New Roman" w:cs="Times New Roman"/>
          <w:szCs w:val="24"/>
        </w:rPr>
      </w:pPr>
      <w:r>
        <w:rPr>
          <w:rFonts w:eastAsia="Times New Roman" w:cs="Times New Roman"/>
          <w:szCs w:val="24"/>
        </w:rPr>
        <w:t>October 2</w:t>
      </w:r>
      <w:r w:rsidR="00F3758E">
        <w:rPr>
          <w:rFonts w:eastAsia="Times New Roman" w:cs="Times New Roman"/>
          <w:szCs w:val="24"/>
        </w:rPr>
        <w:t>, 2020</w:t>
      </w:r>
    </w:p>
    <w:p w:rsidR="00F3758E" w:rsidRDefault="00F3758E" w:rsidP="00F3758E"/>
    <w:p w:rsidR="00CA1BC1" w:rsidRPr="00F3758E" w:rsidRDefault="00BC72B5" w:rsidP="00CA1BC1">
      <w:pPr>
        <w:pStyle w:val="Heading1"/>
        <w:rPr>
          <w:color w:val="auto"/>
          <w:sz w:val="28"/>
          <w:szCs w:val="28"/>
        </w:rPr>
      </w:pPr>
      <w:hyperlink r:id="rId6" w:history="1">
        <w:r w:rsidR="00CA1BC1" w:rsidRPr="00F3758E">
          <w:rPr>
            <w:rStyle w:val="Hyperlink"/>
            <w:sz w:val="28"/>
            <w:szCs w:val="28"/>
          </w:rPr>
          <w:t>Chapter 13.2. Standards of Quality.</w:t>
        </w:r>
      </w:hyperlink>
      <w:bookmarkStart w:id="0" w:name="_GoBack"/>
      <w:bookmarkEnd w:id="0"/>
      <w:r w:rsidR="00F3758E" w:rsidRPr="00F3758E">
        <w:rPr>
          <w:color w:val="auto"/>
          <w:sz w:val="28"/>
          <w:szCs w:val="28"/>
        </w:rPr>
        <w:t xml:space="preserve"> (Effective July 1, 2020)</w:t>
      </w:r>
    </w:p>
    <w:p w:rsidR="00CA1BC1" w:rsidRPr="00F3758E" w:rsidRDefault="00CA1BC1" w:rsidP="00CA1BC1">
      <w:pPr>
        <w:pStyle w:val="Heading2"/>
        <w:rPr>
          <w:color w:val="auto"/>
        </w:rPr>
      </w:pPr>
      <w:r w:rsidRPr="00F3758E">
        <w:rPr>
          <w:color w:val="auto"/>
        </w:rPr>
        <w:t xml:space="preserve">§ 22.1-253.13:1. Standard </w:t>
      </w:r>
      <w:proofErr w:type="gramStart"/>
      <w:r w:rsidRPr="00F3758E">
        <w:rPr>
          <w:color w:val="auto"/>
        </w:rPr>
        <w:t>1</w:t>
      </w:r>
      <w:proofErr w:type="gramEnd"/>
      <w:r w:rsidRPr="00F3758E">
        <w:rPr>
          <w:color w:val="auto"/>
        </w:rPr>
        <w:t>. Instructional programs supporting the Standards of Learning and other educational objectives.</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 xml:space="preserve">A. </w:t>
      </w:r>
      <w:proofErr w:type="gramStart"/>
      <w:r w:rsidRPr="00CA1BC1">
        <w:rPr>
          <w:rFonts w:eastAsia="Times New Roman" w:cs="Times New Roman"/>
          <w:szCs w:val="24"/>
        </w:rPr>
        <w:t>The</w:t>
      </w:r>
      <w:proofErr w:type="gramEnd"/>
      <w:r w:rsidRPr="00CA1BC1">
        <w:rPr>
          <w:rFonts w:eastAsia="Times New Roman" w:cs="Times New Roman"/>
          <w:szCs w:val="24"/>
        </w:rPr>
        <w:t xml:space="preserve"> General Assembly and the Board of Education believe that the fundamental goal of the public schools of the Commonwealth must be to enable each student to develop the skills that are necessary for success in school, preparation for life, and reaching their full potential. The General Assembly and the Board of Education find that the quality of education is dependent upon the provision of (</w:t>
      </w:r>
      <w:proofErr w:type="spellStart"/>
      <w:r w:rsidRPr="00CA1BC1">
        <w:rPr>
          <w:rFonts w:eastAsia="Times New Roman" w:cs="Times New Roman"/>
          <w:szCs w:val="24"/>
        </w:rPr>
        <w:t>i</w:t>
      </w:r>
      <w:proofErr w:type="spellEnd"/>
      <w:r w:rsidRPr="00CA1BC1">
        <w:rPr>
          <w:rFonts w:eastAsia="Times New Roman" w:cs="Times New Roman"/>
          <w:szCs w:val="24"/>
        </w:rPr>
        <w:t>) the appropriate working environment, benefits, and salaries necessary to ensure the availability of high-quality instructional personnel; (ii) the appropriate learning environment designed to promote student achievement; (iii) quality instruction that enables each student to become a productive and educated citizen of Virginia and the United States of America; and (iv) the adequate commitment of other resources. In keeping with this goal, the General Assembly shall provide for the support of public education as set forth in Article VIII, Section 1 of the Constitution of Virginia.</w:t>
      </w:r>
    </w:p>
    <w:p w:rsidR="00CA1BC1" w:rsidRPr="00CA1BC1" w:rsidRDefault="00CA1BC1" w:rsidP="00CA1BC1">
      <w:pPr>
        <w:spacing w:after="0" w:line="240" w:lineRule="auto"/>
        <w:textAlignment w:val="baseline"/>
        <w:rPr>
          <w:rFonts w:eastAsia="Times New Roman" w:cs="Times New Roman"/>
          <w:szCs w:val="24"/>
        </w:rPr>
      </w:pPr>
      <w:r w:rsidRPr="00CA1BC1">
        <w:rPr>
          <w:rFonts w:eastAsia="Times New Roman" w:cs="Times New Roman"/>
          <w:szCs w:val="24"/>
        </w:rPr>
        <w:t xml:space="preserve">B. </w:t>
      </w:r>
      <w:proofErr w:type="gramStart"/>
      <w:r w:rsidRPr="00CA1BC1">
        <w:rPr>
          <w:rFonts w:eastAsia="Times New Roman" w:cs="Times New Roman"/>
          <w:szCs w:val="24"/>
        </w:rPr>
        <w:t>The</w:t>
      </w:r>
      <w:proofErr w:type="gramEnd"/>
      <w:r w:rsidRPr="00CA1BC1">
        <w:rPr>
          <w:rFonts w:eastAsia="Times New Roman" w:cs="Times New Roman"/>
          <w:szCs w:val="24"/>
        </w:rPr>
        <w:t xml:space="preserve"> Board of Education shall establish educational objectives known as the Standards of Learning, which shall form the core of Virginia's educational program, and other educational objectives, which together are designed to ensure the development of the skills that are necessary for success in school and for preparation for life in the years beyond. At a minimum, the Board shall establish Standards of Learning for English, mathematics, science, and history and social science. The Standards of Learning shall not be construed to be regulations as defined in § </w:t>
      </w:r>
      <w:hyperlink r:id="rId7" w:history="1">
        <w:r w:rsidRPr="00CA1BC1">
          <w:rPr>
            <w:rFonts w:eastAsia="Times New Roman" w:cs="Times New Roman"/>
            <w:szCs w:val="24"/>
            <w:bdr w:val="none" w:sz="0" w:space="0" w:color="auto" w:frame="1"/>
          </w:rPr>
          <w:t>2.2-4001</w:t>
        </w:r>
      </w:hyperlink>
      <w:r w:rsidRPr="00CA1BC1">
        <w:rPr>
          <w:rFonts w:eastAsia="Times New Roman" w:cs="Times New Roman"/>
          <w:szCs w:val="24"/>
        </w:rPr>
        <w:t>.</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The Board shall seek to ensure that the Standards of Learning are consistent with a high-quality foundation educational program. The Standards of Learning shall include, but not be limited to, the basic skills of communication (listening, speaking, reading, and writing); computation and critical reasoning, including problem solving and decision making; proficiency in the use of computers and related technology; computer science and computational thinking, including computer coding; and the skills to manage personal finances and to make sound financial decisions.</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The English Standards of Learning for reading in kindergarten through grade three shall be based on components of effective reading instruction, to include, at a minimum, phonemic awareness, phonics, fluency, vocabulary development, and text comprehension.</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The Standards of Learning in all subject areas shall be subject to regular review and revision to maintain rigor and to reflect a balance between content knowledge and the application of knowledge in preparation for eventual employment and lifelong learning. The Board of Education shall establish a regular schedule, in a manner it deems appropriate, for the review, and revision as may be necessary, of the Standards of Learning in all subject areas. Such review of each subject area shall occur at least once every seven years. Nothing in this section shall be construed to prohibit the Board from conducting such review and revision on a more frequent basis.</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lastRenderedPageBreak/>
        <w:t xml:space="preserve">To provide appropriate opportunity for input from the general public, teachers, and local school boards, the Board of Education shall conduct public hearings prior to establishing revised Standards of Learning. Thirty days prior to conducting such hearings, the Board shall give notice of the date, time, and place of the hearings to all local school boards and any other persons requesting to be notified of the hearings and publish notice of its intention to revise the Standards of Learning in the Virginia Register of Regulations. Interested parties </w:t>
      </w:r>
      <w:proofErr w:type="gramStart"/>
      <w:r w:rsidRPr="00CA1BC1">
        <w:rPr>
          <w:rFonts w:eastAsia="Times New Roman" w:cs="Times New Roman"/>
          <w:szCs w:val="24"/>
        </w:rPr>
        <w:t>shall be given</w:t>
      </w:r>
      <w:proofErr w:type="gramEnd"/>
      <w:r w:rsidRPr="00CA1BC1">
        <w:rPr>
          <w:rFonts w:eastAsia="Times New Roman" w:cs="Times New Roman"/>
          <w:szCs w:val="24"/>
        </w:rPr>
        <w:t xml:space="preserve"> reasonable opportunity to be heard and present information prior to final adoption of any revisions of the Standards of Learning.</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In addition, the Department of Education shall make available and maintain a website, either separately or through an existing website utilized by the Department of Education, enabling public elementary, middle, and high school educators to submit recommendations for improvements relating to the Standards of Learning, when under review by the Board according to its established schedule, and related assessments required by the Standards of Quality pursuant to this chapter. Such website shall facilitate the submission of recommendations by educators.</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School boards shall implement the Standards of Learning or objectives specifically designed for their school divisions that are equivalent to or exceed the Board's requirements. Students shall be expected to achieve the educational objectives established by the school division at appropriate age or grade levels. The curriculum adopted by the local school division shall be aligned to the Standards of Learning.</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The Board of Education shall include in the Standards of Learning for history and social science the study of contributions to society of diverse people. For the purposes of this subsection, "diverse" includes consideration of disability, ethnicity, race, and gender.</w:t>
      </w:r>
    </w:p>
    <w:p w:rsidR="00CA1BC1" w:rsidRPr="00CA1BC1" w:rsidRDefault="00CA1BC1" w:rsidP="00CA1BC1">
      <w:pPr>
        <w:spacing w:after="0" w:line="240" w:lineRule="auto"/>
        <w:textAlignment w:val="baseline"/>
        <w:rPr>
          <w:rFonts w:eastAsia="Times New Roman" w:cs="Times New Roman"/>
          <w:szCs w:val="24"/>
        </w:rPr>
      </w:pPr>
      <w:r w:rsidRPr="00CA1BC1">
        <w:rPr>
          <w:rFonts w:eastAsia="Times New Roman" w:cs="Times New Roman"/>
          <w:szCs w:val="24"/>
        </w:rPr>
        <w:t>The Board of Education shall include in the Standards of Learning for health instruction in emergency first aid, cardiopulmonary resuscitation, and the use of an automated external defibrillator, including hands-on practice of the skills necessary to perform cardiopulmonary resuscitation. Such instruction shall be based on the current national evidence-based emergency cardiovascular care guidelines for cardiopulmonary resuscitation and the use of an automated external defibrillator, such as a program developed by the American Heart Association or the American Red Cross. No teacher who is in compliance with subdivision D 3 of § </w:t>
      </w:r>
      <w:hyperlink r:id="rId8" w:history="1">
        <w:r w:rsidRPr="00CA1BC1">
          <w:rPr>
            <w:rFonts w:eastAsia="Times New Roman" w:cs="Times New Roman"/>
            <w:szCs w:val="24"/>
            <w:bdr w:val="none" w:sz="0" w:space="0" w:color="auto" w:frame="1"/>
          </w:rPr>
          <w:t>22.1-298.1</w:t>
        </w:r>
      </w:hyperlink>
      <w:r w:rsidRPr="00CA1BC1">
        <w:rPr>
          <w:rFonts w:eastAsia="Times New Roman" w:cs="Times New Roman"/>
          <w:szCs w:val="24"/>
        </w:rPr>
        <w:t> shall be required to be certified as a trainer of cardiopulmonary resuscitation to provide instruction for non-certification.</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With such funds as are made available for this purpose, the Board shall regularly review and revise the competencies for career and technical education programs to require the full integration of English, mathematics, science, and history and social science Standards of Learning. Career and technical education programs shall be aligned with industry and professional standard certifications, where they exist.</w:t>
      </w:r>
    </w:p>
    <w:p w:rsidR="00CA1BC1" w:rsidRPr="00CA1BC1" w:rsidRDefault="00CA1BC1" w:rsidP="00CA1BC1">
      <w:pPr>
        <w:spacing w:after="0" w:line="240" w:lineRule="auto"/>
        <w:textAlignment w:val="baseline"/>
        <w:rPr>
          <w:rFonts w:eastAsia="Times New Roman" w:cs="Times New Roman"/>
          <w:szCs w:val="24"/>
        </w:rPr>
      </w:pPr>
      <w:r w:rsidRPr="00CA1BC1">
        <w:rPr>
          <w:rFonts w:eastAsia="Times New Roman" w:cs="Times New Roman"/>
          <w:szCs w:val="24"/>
        </w:rPr>
        <w:t>The Board shall establish content standards and curriculum guidelines for courses in career investigation in elementary school, middle school, and high school. Each school board shall (</w:t>
      </w:r>
      <w:proofErr w:type="spellStart"/>
      <w:r w:rsidRPr="00CA1BC1">
        <w:rPr>
          <w:rFonts w:eastAsia="Times New Roman" w:cs="Times New Roman"/>
          <w:szCs w:val="24"/>
        </w:rPr>
        <w:t>i</w:t>
      </w:r>
      <w:proofErr w:type="spellEnd"/>
      <w:r w:rsidRPr="00CA1BC1">
        <w:rPr>
          <w:rFonts w:eastAsia="Times New Roman" w:cs="Times New Roman"/>
          <w:szCs w:val="24"/>
        </w:rPr>
        <w:t xml:space="preserve">) require each middle school student to take at least one course in career investigation or (ii) select an alternate means of delivering the career investigation course to each middle school student, provided that such alternative is equivalent in content and rigor and provides the foundation for such students to develop their academic and career plans. Any school board may require (a) such courses in career investigation at the high school level as it deems appropriate, subject to Board </w:t>
      </w:r>
      <w:r w:rsidRPr="00CA1BC1">
        <w:rPr>
          <w:rFonts w:eastAsia="Times New Roman" w:cs="Times New Roman"/>
          <w:szCs w:val="24"/>
        </w:rPr>
        <w:lastRenderedPageBreak/>
        <w:t>approval as required in subsection A of § </w:t>
      </w:r>
      <w:hyperlink r:id="rId9" w:history="1">
        <w:r w:rsidRPr="00CA1BC1">
          <w:rPr>
            <w:rFonts w:eastAsia="Times New Roman" w:cs="Times New Roman"/>
            <w:szCs w:val="24"/>
            <w:bdr w:val="none" w:sz="0" w:space="0" w:color="auto" w:frame="1"/>
          </w:rPr>
          <w:t>22.1-253.13:4</w:t>
        </w:r>
      </w:hyperlink>
      <w:r w:rsidRPr="00CA1BC1">
        <w:rPr>
          <w:rFonts w:eastAsia="Times New Roman" w:cs="Times New Roman"/>
          <w:szCs w:val="24"/>
        </w:rPr>
        <w:t xml:space="preserve">, and (b) such courses in career investigation at the elementary school level as it deems appropriate. The Board shall develop and disseminate to each school board </w:t>
      </w:r>
      <w:proofErr w:type="gramStart"/>
      <w:r w:rsidRPr="00CA1BC1">
        <w:rPr>
          <w:rFonts w:eastAsia="Times New Roman" w:cs="Times New Roman"/>
          <w:szCs w:val="24"/>
        </w:rPr>
        <w:t>career investigation resource materials</w:t>
      </w:r>
      <w:proofErr w:type="gramEnd"/>
      <w:r w:rsidRPr="00CA1BC1">
        <w:rPr>
          <w:rFonts w:eastAsia="Times New Roman" w:cs="Times New Roman"/>
          <w:szCs w:val="24"/>
        </w:rPr>
        <w:t xml:space="preserve"> that are designed to ensure that students have the ability to further explore interest in career and technical education opportunities in middle and high school. In developing such resource materials, the Board shall consult with representatives of career and technical education, industry, skilled trade associations, chambers of commerce or similar organizations, and contractor organizations.</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C. Local school boards shall develop and implement a program of instruction for grades K through 12 that is aligned to the Standards of Learning and meets or exceeds the requirements of the Board of Education. The program of instruction shall emphasize reading, writing, speaking, mathematical concepts and computations, proficiency in the use of computers and related technology, computer science and computational thinking, including computer coding, and scientific concepts and processes; essential skills and concepts of citizenship, including knowledge of Virginia history and world and United States history, economics, government, foreign languages, international cultures, health and physical education, environmental issues, and geography necessary for responsible participation in American society and in the international community; fine arts, which may include, but need not be limited to, music and art, and practical arts; knowledge and skills needed to qualify for further education, gainful employment, or training in a career or technical field; and development of the ability to apply such skills and knowledge in preparation for eventual employment and lifelong learning and to achieve economic self-sufficiency.</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Local school boards shall also develop and implement programs of prevention, intervention, or remediation for students who are educationally at risk including, but not limited to, those who fail to achieve a passing score on any Standards of Learning assessment in grades three through eight or who fail an end-of-course test required for the award of a verified unit of credit. Such programs shall include components that are research-based.</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Any student who achieves a passing score on one or more, but not all, of the Standards of Learning assessments for the relevant grade level in grades three through eight may be required to attend a remediation program.</w:t>
      </w:r>
    </w:p>
    <w:p w:rsidR="00CA1BC1" w:rsidRPr="00CA1BC1" w:rsidRDefault="00CA1BC1" w:rsidP="00CA1BC1">
      <w:pPr>
        <w:spacing w:after="0" w:line="240" w:lineRule="auto"/>
        <w:textAlignment w:val="baseline"/>
        <w:rPr>
          <w:rFonts w:eastAsia="Times New Roman" w:cs="Times New Roman"/>
          <w:szCs w:val="24"/>
        </w:rPr>
      </w:pPr>
      <w:r w:rsidRPr="00CA1BC1">
        <w:rPr>
          <w:rFonts w:eastAsia="Times New Roman" w:cs="Times New Roman"/>
          <w:szCs w:val="24"/>
        </w:rPr>
        <w:t>Any student who fails to achieve a passing score on all of the Standards of Learning assessments for the relevant grade level in grades three through eight or who fails an end-of-course test required for the award of a verified unit of credit shall be required to attend a remediation program or to participate in another form of remediation. Division superintendents shall require such students to take special programs of prevention, intervention, or remediation, which may include attendance in public summer school programs, in accordance with clause (ii) of subsection A of § </w:t>
      </w:r>
      <w:hyperlink r:id="rId10" w:history="1">
        <w:r w:rsidRPr="00CA1BC1">
          <w:rPr>
            <w:rFonts w:eastAsia="Times New Roman" w:cs="Times New Roman"/>
            <w:szCs w:val="24"/>
            <w:bdr w:val="none" w:sz="0" w:space="0" w:color="auto" w:frame="1"/>
          </w:rPr>
          <w:t>22.1-254</w:t>
        </w:r>
      </w:hyperlink>
      <w:r w:rsidRPr="00CA1BC1">
        <w:rPr>
          <w:rFonts w:eastAsia="Times New Roman" w:cs="Times New Roman"/>
          <w:szCs w:val="24"/>
        </w:rPr>
        <w:t> and § </w:t>
      </w:r>
      <w:hyperlink r:id="rId11" w:history="1">
        <w:r w:rsidRPr="00CA1BC1">
          <w:rPr>
            <w:rFonts w:eastAsia="Times New Roman" w:cs="Times New Roman"/>
            <w:szCs w:val="24"/>
            <w:bdr w:val="none" w:sz="0" w:space="0" w:color="auto" w:frame="1"/>
          </w:rPr>
          <w:t>22.1-254.01</w:t>
        </w:r>
      </w:hyperlink>
      <w:r w:rsidRPr="00CA1BC1">
        <w:rPr>
          <w:rFonts w:eastAsia="Times New Roman" w:cs="Times New Roman"/>
          <w:szCs w:val="24"/>
        </w:rPr>
        <w:t>.</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 xml:space="preserve">Remediation programs shall include, when applicable, a procedure for early identification of students who are at risk of failing the Standards of Learning assessments in grades three through eight or who fail an end-of-course test required for the award of a verified unit of credit. Such programs may also include summer school for all elementary and middle school grades and for all high school academic courses, as defined by regulations promulgated by the Board of Education, or other forms of remediation. Summer school remediation programs or other forms of remediation shall be chosen by the division superintendent to be appropriate to the academic </w:t>
      </w:r>
      <w:r w:rsidRPr="00CA1BC1">
        <w:rPr>
          <w:rFonts w:eastAsia="Times New Roman" w:cs="Times New Roman"/>
          <w:szCs w:val="24"/>
        </w:rPr>
        <w:lastRenderedPageBreak/>
        <w:t>needs of the student. Students who are required to attend such summer school programs or to participate in another form of remediation shall not be charged tuition by the school division.</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The requirement for remediation may, however, be satisfied by the student's attendance in a program of prevention, intervention or remediation that has been selected by his parent, in consultation with the division superintendent or his designee, and is either (</w:t>
      </w:r>
      <w:proofErr w:type="spellStart"/>
      <w:r w:rsidRPr="00CA1BC1">
        <w:rPr>
          <w:rFonts w:eastAsia="Times New Roman" w:cs="Times New Roman"/>
          <w:szCs w:val="24"/>
        </w:rPr>
        <w:t>i</w:t>
      </w:r>
      <w:proofErr w:type="spellEnd"/>
      <w:r w:rsidRPr="00CA1BC1">
        <w:rPr>
          <w:rFonts w:eastAsia="Times New Roman" w:cs="Times New Roman"/>
          <w:szCs w:val="24"/>
        </w:rPr>
        <w:t>) conducted by an accredited private school or (ii) a special program that has been determined to be comparable to the required public school remediation program by the division superintendent. The costs of such private school remediation program or other special remediation program shall be borne by the student's parent.</w:t>
      </w:r>
    </w:p>
    <w:p w:rsidR="00CA1BC1" w:rsidRPr="00CA1BC1" w:rsidRDefault="00CA1BC1" w:rsidP="00CA1BC1">
      <w:pPr>
        <w:spacing w:after="0" w:line="240" w:lineRule="auto"/>
        <w:textAlignment w:val="baseline"/>
        <w:rPr>
          <w:rFonts w:eastAsia="Times New Roman" w:cs="Times New Roman"/>
          <w:szCs w:val="24"/>
        </w:rPr>
      </w:pPr>
      <w:r w:rsidRPr="00CA1BC1">
        <w:rPr>
          <w:rFonts w:eastAsia="Times New Roman" w:cs="Times New Roman"/>
          <w:szCs w:val="24"/>
        </w:rPr>
        <w:t>The Board of Education shall establish standards for full funding of summer remedial programs that shall include, but not be limited to, the minimum number of instructional hours or the equivalent thereof required for full funding and an assessment system designed to evaluate program effectiveness. Based on the number of students attending and the Commonwealth's share of the per pupil instructional costs, state funds shall be provided for the full cost of summer and other remediation programs as set forth in the appropriation act, provided such programs comply with such standards as shall be established by the Board, pursuant to § </w:t>
      </w:r>
      <w:hyperlink r:id="rId12" w:history="1">
        <w:r w:rsidRPr="00CA1BC1">
          <w:rPr>
            <w:rFonts w:eastAsia="Times New Roman" w:cs="Times New Roman"/>
            <w:szCs w:val="24"/>
            <w:bdr w:val="none" w:sz="0" w:space="0" w:color="auto" w:frame="1"/>
          </w:rPr>
          <w:t>22.1-199.2</w:t>
        </w:r>
      </w:hyperlink>
      <w:r w:rsidRPr="00CA1BC1">
        <w:rPr>
          <w:rFonts w:eastAsia="Times New Roman" w:cs="Times New Roman"/>
          <w:szCs w:val="24"/>
        </w:rPr>
        <w:t>.</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D. Local school boards shall also implement the following:</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1. Programs in grades K through three that emphasize developmentally appropriate learning to enhance success.</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2. Programs based on prevention, intervention, or remediation designed to increase the number of students who earn a high school diploma and to prevent students from dropping out of school. Such programs shall include components that are research-based.</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3. Career and technical education programs incorporated into the K through 12 curricula that include:</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a. Knowledge of careers and all types of employment opportunities, including, but not limited to, apprenticeships, entrepreneurship and small business ownership, the military, and the teaching profession, and emphasize the advantages of completing school with marketable skills;</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b. Career exploration opportunities in the middle school grades;</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 xml:space="preserve">c. Competency-based career and technical education programs that integrate academic outcomes, career guidance, and job-seeking skills for all secondary students. Programs shall be based upon labor market needs and student interest. Career guidance shall include counseling about available employment opportunities and placement services for students exiting school. Each school board shall develop and implement a plan to ensure compliance with the provisions of this subdivision. Such plan </w:t>
      </w:r>
      <w:proofErr w:type="gramStart"/>
      <w:r w:rsidRPr="00CA1BC1">
        <w:rPr>
          <w:rFonts w:eastAsia="Times New Roman" w:cs="Times New Roman"/>
          <w:szCs w:val="24"/>
        </w:rPr>
        <w:t>shall be developed</w:t>
      </w:r>
      <w:proofErr w:type="gramEnd"/>
      <w:r w:rsidRPr="00CA1BC1">
        <w:rPr>
          <w:rFonts w:eastAsia="Times New Roman" w:cs="Times New Roman"/>
          <w:szCs w:val="24"/>
        </w:rPr>
        <w:t xml:space="preserve"> with the input of area business and industry representatives and local comprehensive community colleges and shall be submitted to the Superintendent of Public Instruction in accordance with the timelines established by federal law;</w:t>
      </w:r>
    </w:p>
    <w:p w:rsidR="00CA1BC1" w:rsidRPr="00CA1BC1" w:rsidRDefault="00CA1BC1" w:rsidP="00CA1BC1">
      <w:pPr>
        <w:spacing w:after="0" w:line="240" w:lineRule="auto"/>
        <w:textAlignment w:val="baseline"/>
        <w:rPr>
          <w:rFonts w:eastAsia="Times New Roman" w:cs="Times New Roman"/>
          <w:szCs w:val="24"/>
        </w:rPr>
      </w:pPr>
      <w:r w:rsidRPr="00CA1BC1">
        <w:rPr>
          <w:rFonts w:eastAsia="Times New Roman" w:cs="Times New Roman"/>
          <w:szCs w:val="24"/>
        </w:rPr>
        <w:t>d. Annual notice on its website to enrolled high school students and their parents of (</w:t>
      </w:r>
      <w:proofErr w:type="spellStart"/>
      <w:r w:rsidRPr="00CA1BC1">
        <w:rPr>
          <w:rFonts w:eastAsia="Times New Roman" w:cs="Times New Roman"/>
          <w:szCs w:val="24"/>
        </w:rPr>
        <w:t>i</w:t>
      </w:r>
      <w:proofErr w:type="spellEnd"/>
      <w:r w:rsidRPr="00CA1BC1">
        <w:rPr>
          <w:rFonts w:eastAsia="Times New Roman" w:cs="Times New Roman"/>
          <w:szCs w:val="24"/>
        </w:rPr>
        <w:t>) the availability of the postsecondary education and employment data published by the State Council of Higher Education on its website pursuant to § </w:t>
      </w:r>
      <w:hyperlink r:id="rId13" w:history="1">
        <w:r w:rsidRPr="00CA1BC1">
          <w:rPr>
            <w:rFonts w:eastAsia="Times New Roman" w:cs="Times New Roman"/>
            <w:szCs w:val="24"/>
            <w:bdr w:val="none" w:sz="0" w:space="0" w:color="auto" w:frame="1"/>
          </w:rPr>
          <w:t>23.1-204.1</w:t>
        </w:r>
      </w:hyperlink>
      <w:r w:rsidRPr="00CA1BC1">
        <w:rPr>
          <w:rFonts w:eastAsia="Times New Roman" w:cs="Times New Roman"/>
          <w:szCs w:val="24"/>
        </w:rPr>
        <w:t xml:space="preserve"> and (ii) the opportunity for such </w:t>
      </w:r>
      <w:r w:rsidRPr="00CA1BC1">
        <w:rPr>
          <w:rFonts w:eastAsia="Times New Roman" w:cs="Times New Roman"/>
          <w:szCs w:val="24"/>
        </w:rPr>
        <w:lastRenderedPageBreak/>
        <w:t>students to obtain a nationally recognized career readiness certificate at a local public high school, comprehensive community college, or workforce center; and</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e. As part of each student's academic and career plan, a list of (</w:t>
      </w:r>
      <w:proofErr w:type="spellStart"/>
      <w:r w:rsidRPr="00CA1BC1">
        <w:rPr>
          <w:rFonts w:eastAsia="Times New Roman" w:cs="Times New Roman"/>
          <w:szCs w:val="24"/>
        </w:rPr>
        <w:t>i</w:t>
      </w:r>
      <w:proofErr w:type="spellEnd"/>
      <w:r w:rsidRPr="00CA1BC1">
        <w:rPr>
          <w:rFonts w:eastAsia="Times New Roman" w:cs="Times New Roman"/>
          <w:szCs w:val="24"/>
        </w:rPr>
        <w:t xml:space="preserve">) the top 100 professions in the Commonwealth by median pay and the education, training, and skills required for each such profession and (ii) the top </w:t>
      </w:r>
      <w:proofErr w:type="gramStart"/>
      <w:r w:rsidRPr="00CA1BC1">
        <w:rPr>
          <w:rFonts w:eastAsia="Times New Roman" w:cs="Times New Roman"/>
          <w:szCs w:val="24"/>
        </w:rPr>
        <w:t>10 degree</w:t>
      </w:r>
      <w:proofErr w:type="gramEnd"/>
      <w:r w:rsidRPr="00CA1BC1">
        <w:rPr>
          <w:rFonts w:eastAsia="Times New Roman" w:cs="Times New Roman"/>
          <w:szCs w:val="24"/>
        </w:rPr>
        <w:t xml:space="preserve"> programs at institutions of higher education in the Commonwealth by median pay of program graduates. The Department of Education shall annually compile such lists and provide them to each local school board.</w:t>
      </w:r>
    </w:p>
    <w:p w:rsidR="00CA1BC1" w:rsidRPr="00CA1BC1" w:rsidRDefault="00CA1BC1" w:rsidP="00CA1BC1">
      <w:pPr>
        <w:spacing w:after="0" w:line="240" w:lineRule="auto"/>
        <w:textAlignment w:val="baseline"/>
        <w:rPr>
          <w:rFonts w:eastAsia="Times New Roman" w:cs="Times New Roman"/>
          <w:szCs w:val="24"/>
        </w:rPr>
      </w:pPr>
      <w:r w:rsidRPr="00CA1BC1">
        <w:rPr>
          <w:rFonts w:eastAsia="Times New Roman" w:cs="Times New Roman"/>
          <w:szCs w:val="24"/>
        </w:rPr>
        <w:t>4. Educational objectives in middle and high school that emphasize economic education and financial literacy pursuant to § </w:t>
      </w:r>
      <w:hyperlink r:id="rId14" w:history="1">
        <w:r w:rsidRPr="00CA1BC1">
          <w:rPr>
            <w:rFonts w:eastAsia="Times New Roman" w:cs="Times New Roman"/>
            <w:szCs w:val="24"/>
            <w:bdr w:val="none" w:sz="0" w:space="0" w:color="auto" w:frame="1"/>
          </w:rPr>
          <w:t>22.1-200.03</w:t>
        </w:r>
      </w:hyperlink>
      <w:r w:rsidRPr="00CA1BC1">
        <w:rPr>
          <w:rFonts w:eastAsia="Times New Roman" w:cs="Times New Roman"/>
          <w:szCs w:val="24"/>
        </w:rPr>
        <w:t>.</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5. Early identification of students with disabilities and enrollment of such students in appropriate instructional programs consistent with state and federal law.</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6. Early identification of gifted students and enrollment of such students in appropriately differentiated instructional programs.</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7. Educational alternatives for students whose needs are not met in programs prescribed elsewhere in these standards. Such students shall be counted in average daily membership (ADM) in accordance with the regulations of the Board of Education.</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8. Adult education programs for individuals functioning below the high school completion level. Such programs may be conducted by the school board as the primary agency or through a collaborative arrangement between the school board and other agencies.</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 xml:space="preserve">9. A plan to make achievements for students who are educationally at risk a </w:t>
      </w:r>
      <w:proofErr w:type="spellStart"/>
      <w:r w:rsidRPr="00CA1BC1">
        <w:rPr>
          <w:rFonts w:eastAsia="Times New Roman" w:cs="Times New Roman"/>
          <w:szCs w:val="24"/>
        </w:rPr>
        <w:t>divisionwide</w:t>
      </w:r>
      <w:proofErr w:type="spellEnd"/>
      <w:r w:rsidRPr="00CA1BC1">
        <w:rPr>
          <w:rFonts w:eastAsia="Times New Roman" w:cs="Times New Roman"/>
          <w:szCs w:val="24"/>
        </w:rPr>
        <w:t xml:space="preserve"> priority that shall include procedures for measuring the progress of such students.</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10. An agreement for postsecondary degree attainment with a comprehensive community college in the Commonwealth specifying the options for students to complete an associate degree or a one-year Uniform Certificate of General Studies from a comprehensive community college concurrent with a high school diploma. Such agreement shall specify the credit available for dual enrollment courses and Advanced Placement courses with qualifying exam scores of three or higher.</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11. A plan to notify students and their parents of the availability of dual enrollment and advanced placement classes; career and technical education programs, including internships, externships, apprenticeships, credentialing programs, certification programs, licensure programs, and other work-based learning experiences; the International Baccalaureate Program and Academic Year Governor's School Programs; the qualifications for enrolling in such classes, programs, and experiences; and the availability of financial assistance to low-income and needy students to take the advanced placement and International Baccalaureate examinations. This plan shall include notification to students and parents of the agreement with a comprehensive community college in the Commonwealth to enable students to complete an associate degree or a one-year Uniform Certificate of General Studies concurrent with a high school diploma.</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12. Identification of students with limited English proficiency and enrollment of such students in appropriate instructional programs, which programs may include dual language programs whereby such students receive instruction in English and in a second language.</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lastRenderedPageBreak/>
        <w:t>13. Early identification, diagnosis, and assistance for students with reading and mathematics problems and provision of instructional strategies and reading and mathematics practices that benefit the development of reading and mathematics skills for all students.</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 xml:space="preserve">Local school divisions shall provide reading intervention services to students in kindergarten through grade three who demonstrate deficiencies based on their individual performance on the Standards of Learning reading test or any reading diagnostic test that meets criteria established by the Department of Education. Local school divisions shall report the results of the diagnostic tests to the Department of Education on an annual basis, at a time to be determined by the Superintendent of Public Instruction. Each student who receives early intervention reading services will be assessed again at the end of that school year. The local school division, in its discretion, shall provide such reading intervention services prior to promoting a student from grade three to grade four. Reading intervention services may include the use </w:t>
      </w:r>
      <w:proofErr w:type="gramStart"/>
      <w:r w:rsidRPr="00CA1BC1">
        <w:rPr>
          <w:rFonts w:eastAsia="Times New Roman" w:cs="Times New Roman"/>
          <w:szCs w:val="24"/>
        </w:rPr>
        <w:t>of:</w:t>
      </w:r>
      <w:proofErr w:type="gramEnd"/>
      <w:r w:rsidRPr="00CA1BC1">
        <w:rPr>
          <w:rFonts w:eastAsia="Times New Roman" w:cs="Times New Roman"/>
          <w:szCs w:val="24"/>
        </w:rPr>
        <w:t xml:space="preserve"> special reading teachers; trained aides; volunteer tutors under the supervision of a certified teacher; computer-based reading tutorial programs; aides to instruct in-class groups while the teacher provides direct instruction to the students who need extra assistance; and extended instructional time in the school day or school year for these students. Funds appropriated for prevention, intervention, and remediation; summer school remediation; at-risk</w:t>
      </w:r>
      <w:proofErr w:type="gramStart"/>
      <w:r w:rsidRPr="00CA1BC1">
        <w:rPr>
          <w:rFonts w:eastAsia="Times New Roman" w:cs="Times New Roman"/>
          <w:szCs w:val="24"/>
        </w:rPr>
        <w:t>;</w:t>
      </w:r>
      <w:proofErr w:type="gramEnd"/>
      <w:r w:rsidRPr="00CA1BC1">
        <w:rPr>
          <w:rFonts w:eastAsia="Times New Roman" w:cs="Times New Roman"/>
          <w:szCs w:val="24"/>
        </w:rPr>
        <w:t xml:space="preserve"> or early intervention reading may be used to meet the requirements of this subdivision.</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 xml:space="preserve">Local school divisions shall provide algebra readiness intervention services to students in grades six through nine who are at risk of failing the Algebra I end-of-course test, as demonstrated by their individual performance on any diagnostic test that has been approved by the Department of Education. Local school divisions shall report the results of the diagnostic tests to the Department of Education on an annual basis, at a time to be determined by the Superintendent of Public Instruction. Each student who receives </w:t>
      </w:r>
      <w:proofErr w:type="gramStart"/>
      <w:r w:rsidRPr="00CA1BC1">
        <w:rPr>
          <w:rFonts w:eastAsia="Times New Roman" w:cs="Times New Roman"/>
          <w:szCs w:val="24"/>
        </w:rPr>
        <w:t>algebra readiness intervention services</w:t>
      </w:r>
      <w:proofErr w:type="gramEnd"/>
      <w:r w:rsidRPr="00CA1BC1">
        <w:rPr>
          <w:rFonts w:eastAsia="Times New Roman" w:cs="Times New Roman"/>
          <w:szCs w:val="24"/>
        </w:rPr>
        <w:t xml:space="preserve"> will be assessed again at the end of that school year. Funds appropriated for prevention, intervention, and remediation; summer school remediation; at-risk</w:t>
      </w:r>
      <w:proofErr w:type="gramStart"/>
      <w:r w:rsidRPr="00CA1BC1">
        <w:rPr>
          <w:rFonts w:eastAsia="Times New Roman" w:cs="Times New Roman"/>
          <w:szCs w:val="24"/>
        </w:rPr>
        <w:t>;</w:t>
      </w:r>
      <w:proofErr w:type="gramEnd"/>
      <w:r w:rsidRPr="00CA1BC1">
        <w:rPr>
          <w:rFonts w:eastAsia="Times New Roman" w:cs="Times New Roman"/>
          <w:szCs w:val="24"/>
        </w:rPr>
        <w:t xml:space="preserve"> or algebra readiness intervention services may be used to meet the requirements of this subdivision.</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14. Incorporation of art, music, and physical education as a part of the instructional program at the elementary school level.</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15. A program of physical activity available to all students in grades kindergarten through five consisting of at least 20 minutes per day or an average of 100 minutes per week during the regular school year and available to all students in grades six through 12 with a goal of at least 150 minutes per week on average during the regular school year. Such program may include any combination of (</w:t>
      </w:r>
      <w:proofErr w:type="spellStart"/>
      <w:r w:rsidRPr="00CA1BC1">
        <w:rPr>
          <w:rFonts w:eastAsia="Times New Roman" w:cs="Times New Roman"/>
          <w:szCs w:val="24"/>
        </w:rPr>
        <w:t>i</w:t>
      </w:r>
      <w:proofErr w:type="spellEnd"/>
      <w:r w:rsidRPr="00CA1BC1">
        <w:rPr>
          <w:rFonts w:eastAsia="Times New Roman" w:cs="Times New Roman"/>
          <w:szCs w:val="24"/>
        </w:rPr>
        <w:t xml:space="preserve">) physical education classes, (ii) extracurricular athletics, (iii) recess, or </w:t>
      </w:r>
      <w:proofErr w:type="gramStart"/>
      <w:r w:rsidRPr="00CA1BC1">
        <w:rPr>
          <w:rFonts w:eastAsia="Times New Roman" w:cs="Times New Roman"/>
          <w:szCs w:val="24"/>
        </w:rPr>
        <w:t>(iv) other</w:t>
      </w:r>
      <w:proofErr w:type="gramEnd"/>
      <w:r w:rsidRPr="00CA1BC1">
        <w:rPr>
          <w:rFonts w:eastAsia="Times New Roman" w:cs="Times New Roman"/>
          <w:szCs w:val="24"/>
        </w:rPr>
        <w:t xml:space="preserve"> programs and physical activities deemed appropriate by the local school board. Each local school board shall implement such program during the regular school year.</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16. A program of student services for kindergarten through grade 12 that shall be designed to aid students in their educational, social, and career development.</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17. The collection and analysis of data and the use of the results to evaluate and make decisions about the instructional program.</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lastRenderedPageBreak/>
        <w:t>18. A program of instruction in the high school Virginia and U.S. Government course on all information and concepts contained in the civics portion of the U.S. Naturalization Test.</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E. From such funds as may be appropriated or otherwise received for such purpose, there shall be established within the Department of Education a unit to (</w:t>
      </w:r>
      <w:proofErr w:type="spellStart"/>
      <w:r w:rsidRPr="00CA1BC1">
        <w:rPr>
          <w:rFonts w:eastAsia="Times New Roman" w:cs="Times New Roman"/>
          <w:szCs w:val="24"/>
        </w:rPr>
        <w:t>i</w:t>
      </w:r>
      <w:proofErr w:type="spellEnd"/>
      <w:r w:rsidRPr="00CA1BC1">
        <w:rPr>
          <w:rFonts w:eastAsia="Times New Roman" w:cs="Times New Roman"/>
          <w:szCs w:val="24"/>
        </w:rPr>
        <w:t xml:space="preserve">) conduct evaluative studies; (ii) provide the resources and technical assistance to increase the capacity for school divisions to deliver quality instruction; and (iii) assist school divisions in implementing those programs and practices that will enhance pupil academic performance and improve family and community involvement in the public schools. Such unit shall identify and analyze effective instructional </w:t>
      </w:r>
      <w:proofErr w:type="gramStart"/>
      <w:r w:rsidRPr="00CA1BC1">
        <w:rPr>
          <w:rFonts w:eastAsia="Times New Roman" w:cs="Times New Roman"/>
          <w:szCs w:val="24"/>
        </w:rPr>
        <w:t>programs and practices</w:t>
      </w:r>
      <w:proofErr w:type="gramEnd"/>
      <w:r w:rsidRPr="00CA1BC1">
        <w:rPr>
          <w:rFonts w:eastAsia="Times New Roman" w:cs="Times New Roman"/>
          <w:szCs w:val="24"/>
        </w:rPr>
        <w:t xml:space="preserve"> and professional development initiatives; evaluate the success of programs encouraging parental and family involvement; assess changes in student outcomes prompted by family involvement; and collect and disseminate among school divisions information regarding effective instructional programs and practices, initiatives promoting family and community involvement, and potential funding and support sources. Such unit may also provide resources supporting professional development for administrators and teachers. In providing such information, resources, and other services to school divisions, the unit shall give priority to those divisions demonstrating a less than 70 percent passing rate on the Standards of Learning assessments.</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F. Each local school board may enter into agreements for postsecondary course credit, credential, certification, or license attainment, hereinafter referred to as College and Career Access Pathways Partnerships (Partnerships), with comprehensive community colleges or other public institutions of higher education or educational institutions established pursuant to Title 23.1 that offer a career and technical education curriculum. Such Partnerships shall (</w:t>
      </w:r>
      <w:proofErr w:type="spellStart"/>
      <w:r w:rsidRPr="00CA1BC1">
        <w:rPr>
          <w:rFonts w:eastAsia="Times New Roman" w:cs="Times New Roman"/>
          <w:szCs w:val="24"/>
        </w:rPr>
        <w:t>i</w:t>
      </w:r>
      <w:proofErr w:type="spellEnd"/>
      <w:r w:rsidRPr="00CA1BC1">
        <w:rPr>
          <w:rFonts w:eastAsia="Times New Roman" w:cs="Times New Roman"/>
          <w:szCs w:val="24"/>
        </w:rPr>
        <w:t>) specify the options for students to take courses as part of the career and technical education curriculum that lead to course credit or an industry-recognized credential, certification, or license concurrent with a high school diploma; (ii) specify the credit, credentials, certifications, or licenses available for such courses; and (iii) specify available options for students to participate in pre-apprenticeship and apprenticeship programs at comprehensive community colleges concurrent with the pursuit of a high school diploma and receive college credit and high school credit for successful completion of any such program.</w:t>
      </w:r>
    </w:p>
    <w:p w:rsidR="00CA1BC1" w:rsidRPr="00CA1BC1" w:rsidRDefault="00CA1BC1" w:rsidP="00CA1BC1">
      <w:pPr>
        <w:spacing w:after="0" w:line="240" w:lineRule="auto"/>
        <w:textAlignment w:val="baseline"/>
        <w:rPr>
          <w:rFonts w:eastAsia="Times New Roman" w:cs="Times New Roman"/>
          <w:szCs w:val="24"/>
        </w:rPr>
      </w:pPr>
      <w:r w:rsidRPr="00CA1BC1">
        <w:rPr>
          <w:rFonts w:eastAsia="Times New Roman" w:cs="Times New Roman"/>
          <w:szCs w:val="24"/>
        </w:rPr>
        <w:t>1988, cc. 645, 682; 1990, cc. 797, 820, 839; 1991, cc. 295, 304; 1992, cc. 132, 591; 1994, cc. </w:t>
      </w:r>
      <w:hyperlink r:id="rId15" w:history="1">
        <w:r w:rsidRPr="00CA1BC1">
          <w:rPr>
            <w:rFonts w:eastAsia="Times New Roman" w:cs="Times New Roman"/>
            <w:szCs w:val="24"/>
            <w:bdr w:val="none" w:sz="0" w:space="0" w:color="auto" w:frame="1"/>
          </w:rPr>
          <w:t>618</w:t>
        </w:r>
      </w:hyperlink>
      <w:r w:rsidRPr="00CA1BC1">
        <w:rPr>
          <w:rFonts w:eastAsia="Times New Roman" w:cs="Times New Roman"/>
          <w:szCs w:val="24"/>
        </w:rPr>
        <w:t>, </w:t>
      </w:r>
      <w:hyperlink r:id="rId16" w:history="1">
        <w:r w:rsidRPr="00CA1BC1">
          <w:rPr>
            <w:rFonts w:eastAsia="Times New Roman" w:cs="Times New Roman"/>
            <w:szCs w:val="24"/>
            <w:bdr w:val="none" w:sz="0" w:space="0" w:color="auto" w:frame="1"/>
          </w:rPr>
          <w:t>790</w:t>
        </w:r>
      </w:hyperlink>
      <w:r w:rsidRPr="00CA1BC1">
        <w:rPr>
          <w:rFonts w:eastAsia="Times New Roman" w:cs="Times New Roman"/>
          <w:szCs w:val="24"/>
        </w:rPr>
        <w:t>; 1996, cc. </w:t>
      </w:r>
      <w:hyperlink r:id="rId17" w:history="1">
        <w:r w:rsidRPr="00CA1BC1">
          <w:rPr>
            <w:rFonts w:eastAsia="Times New Roman" w:cs="Times New Roman"/>
            <w:szCs w:val="24"/>
            <w:bdr w:val="none" w:sz="0" w:space="0" w:color="auto" w:frame="1"/>
          </w:rPr>
          <w:t>163</w:t>
        </w:r>
      </w:hyperlink>
      <w:r w:rsidRPr="00CA1BC1">
        <w:rPr>
          <w:rFonts w:eastAsia="Times New Roman" w:cs="Times New Roman"/>
          <w:szCs w:val="24"/>
        </w:rPr>
        <w:t>, </w:t>
      </w:r>
      <w:hyperlink r:id="rId18" w:history="1">
        <w:r w:rsidRPr="00CA1BC1">
          <w:rPr>
            <w:rFonts w:eastAsia="Times New Roman" w:cs="Times New Roman"/>
            <w:szCs w:val="24"/>
            <w:bdr w:val="none" w:sz="0" w:space="0" w:color="auto" w:frame="1"/>
          </w:rPr>
          <w:t>522</w:t>
        </w:r>
      </w:hyperlink>
      <w:r w:rsidRPr="00CA1BC1">
        <w:rPr>
          <w:rFonts w:eastAsia="Times New Roman" w:cs="Times New Roman"/>
          <w:szCs w:val="24"/>
        </w:rPr>
        <w:t>; 1997, cc. </w:t>
      </w:r>
      <w:hyperlink r:id="rId19" w:history="1">
        <w:r w:rsidRPr="00CA1BC1">
          <w:rPr>
            <w:rFonts w:eastAsia="Times New Roman" w:cs="Times New Roman"/>
            <w:szCs w:val="24"/>
            <w:bdr w:val="none" w:sz="0" w:space="0" w:color="auto" w:frame="1"/>
          </w:rPr>
          <w:t>466</w:t>
        </w:r>
      </w:hyperlink>
      <w:r w:rsidRPr="00CA1BC1">
        <w:rPr>
          <w:rFonts w:eastAsia="Times New Roman" w:cs="Times New Roman"/>
          <w:szCs w:val="24"/>
        </w:rPr>
        <w:t>, </w:t>
      </w:r>
      <w:hyperlink r:id="rId20" w:history="1">
        <w:r w:rsidRPr="00CA1BC1">
          <w:rPr>
            <w:rFonts w:eastAsia="Times New Roman" w:cs="Times New Roman"/>
            <w:szCs w:val="24"/>
            <w:bdr w:val="none" w:sz="0" w:space="0" w:color="auto" w:frame="1"/>
          </w:rPr>
          <w:t>828</w:t>
        </w:r>
      </w:hyperlink>
      <w:r w:rsidRPr="00CA1BC1">
        <w:rPr>
          <w:rFonts w:eastAsia="Times New Roman" w:cs="Times New Roman"/>
          <w:szCs w:val="24"/>
        </w:rPr>
        <w:t>, </w:t>
      </w:r>
      <w:hyperlink r:id="rId21" w:history="1">
        <w:r w:rsidRPr="00CA1BC1">
          <w:rPr>
            <w:rFonts w:eastAsia="Times New Roman" w:cs="Times New Roman"/>
            <w:szCs w:val="24"/>
            <w:bdr w:val="none" w:sz="0" w:space="0" w:color="auto" w:frame="1"/>
          </w:rPr>
          <w:t>829</w:t>
        </w:r>
      </w:hyperlink>
      <w:r w:rsidRPr="00CA1BC1">
        <w:rPr>
          <w:rFonts w:eastAsia="Times New Roman" w:cs="Times New Roman"/>
          <w:szCs w:val="24"/>
        </w:rPr>
        <w:t>; 1998, cc. </w:t>
      </w:r>
      <w:hyperlink r:id="rId22" w:history="1">
        <w:r w:rsidRPr="00CA1BC1">
          <w:rPr>
            <w:rFonts w:eastAsia="Times New Roman" w:cs="Times New Roman"/>
            <w:szCs w:val="24"/>
            <w:bdr w:val="none" w:sz="0" w:space="0" w:color="auto" w:frame="1"/>
          </w:rPr>
          <w:t>103</w:t>
        </w:r>
      </w:hyperlink>
      <w:r w:rsidRPr="00CA1BC1">
        <w:rPr>
          <w:rFonts w:eastAsia="Times New Roman" w:cs="Times New Roman"/>
          <w:szCs w:val="24"/>
        </w:rPr>
        <w:t>, </w:t>
      </w:r>
      <w:hyperlink r:id="rId23" w:history="1">
        <w:r w:rsidRPr="00CA1BC1">
          <w:rPr>
            <w:rFonts w:eastAsia="Times New Roman" w:cs="Times New Roman"/>
            <w:szCs w:val="24"/>
            <w:bdr w:val="none" w:sz="0" w:space="0" w:color="auto" w:frame="1"/>
          </w:rPr>
          <w:t>602</w:t>
        </w:r>
      </w:hyperlink>
      <w:r w:rsidRPr="00CA1BC1">
        <w:rPr>
          <w:rFonts w:eastAsia="Times New Roman" w:cs="Times New Roman"/>
          <w:szCs w:val="24"/>
        </w:rPr>
        <w:t>, </w:t>
      </w:r>
      <w:hyperlink r:id="rId24" w:history="1">
        <w:r w:rsidRPr="00CA1BC1">
          <w:rPr>
            <w:rFonts w:eastAsia="Times New Roman" w:cs="Times New Roman"/>
            <w:szCs w:val="24"/>
            <w:bdr w:val="none" w:sz="0" w:space="0" w:color="auto" w:frame="1"/>
          </w:rPr>
          <w:t>627</w:t>
        </w:r>
      </w:hyperlink>
      <w:r w:rsidRPr="00CA1BC1">
        <w:rPr>
          <w:rFonts w:eastAsia="Times New Roman" w:cs="Times New Roman"/>
          <w:szCs w:val="24"/>
        </w:rPr>
        <w:t>, </w:t>
      </w:r>
      <w:hyperlink r:id="rId25" w:history="1">
        <w:r w:rsidRPr="00CA1BC1">
          <w:rPr>
            <w:rFonts w:eastAsia="Times New Roman" w:cs="Times New Roman"/>
            <w:szCs w:val="24"/>
            <w:bdr w:val="none" w:sz="0" w:space="0" w:color="auto" w:frame="1"/>
          </w:rPr>
          <w:t>800</w:t>
        </w:r>
      </w:hyperlink>
      <w:r w:rsidRPr="00CA1BC1">
        <w:rPr>
          <w:rFonts w:eastAsia="Times New Roman" w:cs="Times New Roman"/>
          <w:szCs w:val="24"/>
        </w:rPr>
        <w:t>, </w:t>
      </w:r>
      <w:hyperlink r:id="rId26" w:history="1">
        <w:r w:rsidRPr="00CA1BC1">
          <w:rPr>
            <w:rFonts w:eastAsia="Times New Roman" w:cs="Times New Roman"/>
            <w:szCs w:val="24"/>
            <w:bdr w:val="none" w:sz="0" w:space="0" w:color="auto" w:frame="1"/>
          </w:rPr>
          <w:t>816</w:t>
        </w:r>
      </w:hyperlink>
      <w:r w:rsidRPr="00CA1BC1">
        <w:rPr>
          <w:rFonts w:eastAsia="Times New Roman" w:cs="Times New Roman"/>
          <w:szCs w:val="24"/>
        </w:rPr>
        <w:t>, </w:t>
      </w:r>
      <w:hyperlink r:id="rId27" w:history="1">
        <w:r w:rsidRPr="00CA1BC1">
          <w:rPr>
            <w:rFonts w:eastAsia="Times New Roman" w:cs="Times New Roman"/>
            <w:szCs w:val="24"/>
            <w:bdr w:val="none" w:sz="0" w:space="0" w:color="auto" w:frame="1"/>
          </w:rPr>
          <w:t>902</w:t>
        </w:r>
      </w:hyperlink>
      <w:r w:rsidRPr="00CA1BC1">
        <w:rPr>
          <w:rFonts w:eastAsia="Times New Roman" w:cs="Times New Roman"/>
          <w:szCs w:val="24"/>
        </w:rPr>
        <w:t>; 1999, cc. </w:t>
      </w:r>
      <w:hyperlink r:id="rId28" w:history="1">
        <w:r w:rsidRPr="00CA1BC1">
          <w:rPr>
            <w:rFonts w:eastAsia="Times New Roman" w:cs="Times New Roman"/>
            <w:szCs w:val="24"/>
            <w:bdr w:val="none" w:sz="0" w:space="0" w:color="auto" w:frame="1"/>
          </w:rPr>
          <w:t>377</w:t>
        </w:r>
      </w:hyperlink>
      <w:r w:rsidRPr="00CA1BC1">
        <w:rPr>
          <w:rFonts w:eastAsia="Times New Roman" w:cs="Times New Roman"/>
          <w:szCs w:val="24"/>
        </w:rPr>
        <w:t>, </w:t>
      </w:r>
      <w:hyperlink r:id="rId29" w:history="1">
        <w:r w:rsidRPr="00CA1BC1">
          <w:rPr>
            <w:rFonts w:eastAsia="Times New Roman" w:cs="Times New Roman"/>
            <w:szCs w:val="24"/>
            <w:bdr w:val="none" w:sz="0" w:space="0" w:color="auto" w:frame="1"/>
          </w:rPr>
          <w:t>444</w:t>
        </w:r>
      </w:hyperlink>
      <w:r w:rsidRPr="00CA1BC1">
        <w:rPr>
          <w:rFonts w:eastAsia="Times New Roman" w:cs="Times New Roman"/>
          <w:szCs w:val="24"/>
        </w:rPr>
        <w:t>, </w:t>
      </w:r>
      <w:hyperlink r:id="rId30" w:history="1">
        <w:r w:rsidRPr="00CA1BC1">
          <w:rPr>
            <w:rFonts w:eastAsia="Times New Roman" w:cs="Times New Roman"/>
            <w:szCs w:val="24"/>
            <w:bdr w:val="none" w:sz="0" w:space="0" w:color="auto" w:frame="1"/>
          </w:rPr>
          <w:t>445</w:t>
        </w:r>
      </w:hyperlink>
      <w:r w:rsidRPr="00CA1BC1">
        <w:rPr>
          <w:rFonts w:eastAsia="Times New Roman" w:cs="Times New Roman"/>
          <w:szCs w:val="24"/>
        </w:rPr>
        <w:t>, </w:t>
      </w:r>
      <w:hyperlink r:id="rId31" w:history="1">
        <w:r w:rsidRPr="00CA1BC1">
          <w:rPr>
            <w:rFonts w:eastAsia="Times New Roman" w:cs="Times New Roman"/>
            <w:szCs w:val="24"/>
            <w:bdr w:val="none" w:sz="0" w:space="0" w:color="auto" w:frame="1"/>
          </w:rPr>
          <w:t>452</w:t>
        </w:r>
      </w:hyperlink>
      <w:r w:rsidRPr="00CA1BC1">
        <w:rPr>
          <w:rFonts w:eastAsia="Times New Roman" w:cs="Times New Roman"/>
          <w:szCs w:val="24"/>
        </w:rPr>
        <w:t>, </w:t>
      </w:r>
      <w:hyperlink r:id="rId32" w:history="1">
        <w:r w:rsidRPr="00CA1BC1">
          <w:rPr>
            <w:rFonts w:eastAsia="Times New Roman" w:cs="Times New Roman"/>
            <w:szCs w:val="24"/>
            <w:bdr w:val="none" w:sz="0" w:space="0" w:color="auto" w:frame="1"/>
          </w:rPr>
          <w:t>461</w:t>
        </w:r>
      </w:hyperlink>
      <w:r w:rsidRPr="00CA1BC1">
        <w:rPr>
          <w:rFonts w:eastAsia="Times New Roman" w:cs="Times New Roman"/>
          <w:szCs w:val="24"/>
        </w:rPr>
        <w:t>, </w:t>
      </w:r>
      <w:hyperlink r:id="rId33" w:history="1">
        <w:r w:rsidRPr="00CA1BC1">
          <w:rPr>
            <w:rFonts w:eastAsia="Times New Roman" w:cs="Times New Roman"/>
            <w:szCs w:val="24"/>
            <w:bdr w:val="none" w:sz="0" w:space="0" w:color="auto" w:frame="1"/>
          </w:rPr>
          <w:t>488</w:t>
        </w:r>
      </w:hyperlink>
      <w:r w:rsidRPr="00CA1BC1">
        <w:rPr>
          <w:rFonts w:eastAsia="Times New Roman" w:cs="Times New Roman"/>
          <w:szCs w:val="24"/>
        </w:rPr>
        <w:t>, </w:t>
      </w:r>
      <w:hyperlink r:id="rId34" w:history="1">
        <w:r w:rsidRPr="00CA1BC1">
          <w:rPr>
            <w:rFonts w:eastAsia="Times New Roman" w:cs="Times New Roman"/>
            <w:szCs w:val="24"/>
            <w:bdr w:val="none" w:sz="0" w:space="0" w:color="auto" w:frame="1"/>
          </w:rPr>
          <w:t>552</w:t>
        </w:r>
      </w:hyperlink>
      <w:r w:rsidRPr="00CA1BC1">
        <w:rPr>
          <w:rFonts w:eastAsia="Times New Roman" w:cs="Times New Roman"/>
          <w:szCs w:val="24"/>
        </w:rPr>
        <w:t>, </w:t>
      </w:r>
      <w:hyperlink r:id="rId35" w:history="1">
        <w:r w:rsidRPr="00CA1BC1">
          <w:rPr>
            <w:rFonts w:eastAsia="Times New Roman" w:cs="Times New Roman"/>
            <w:szCs w:val="24"/>
            <w:bdr w:val="none" w:sz="0" w:space="0" w:color="auto" w:frame="1"/>
          </w:rPr>
          <w:t>595</w:t>
        </w:r>
      </w:hyperlink>
      <w:r w:rsidRPr="00CA1BC1">
        <w:rPr>
          <w:rFonts w:eastAsia="Times New Roman" w:cs="Times New Roman"/>
          <w:szCs w:val="24"/>
        </w:rPr>
        <w:t>, </w:t>
      </w:r>
      <w:hyperlink r:id="rId36" w:history="1">
        <w:r w:rsidRPr="00CA1BC1">
          <w:rPr>
            <w:rFonts w:eastAsia="Times New Roman" w:cs="Times New Roman"/>
            <w:szCs w:val="24"/>
            <w:bdr w:val="none" w:sz="0" w:space="0" w:color="auto" w:frame="1"/>
          </w:rPr>
          <w:t>994</w:t>
        </w:r>
      </w:hyperlink>
      <w:r w:rsidRPr="00CA1BC1">
        <w:rPr>
          <w:rFonts w:eastAsia="Times New Roman" w:cs="Times New Roman"/>
          <w:szCs w:val="24"/>
        </w:rPr>
        <w:t>; 2000, cc. </w:t>
      </w:r>
      <w:hyperlink r:id="rId37" w:history="1">
        <w:r w:rsidRPr="00CA1BC1">
          <w:rPr>
            <w:rFonts w:eastAsia="Times New Roman" w:cs="Times New Roman"/>
            <w:szCs w:val="24"/>
            <w:bdr w:val="none" w:sz="0" w:space="0" w:color="auto" w:frame="1"/>
          </w:rPr>
          <w:t>504</w:t>
        </w:r>
      </w:hyperlink>
      <w:r w:rsidRPr="00CA1BC1">
        <w:rPr>
          <w:rFonts w:eastAsia="Times New Roman" w:cs="Times New Roman"/>
          <w:szCs w:val="24"/>
        </w:rPr>
        <w:t>, </w:t>
      </w:r>
      <w:hyperlink r:id="rId38" w:history="1">
        <w:r w:rsidRPr="00CA1BC1">
          <w:rPr>
            <w:rFonts w:eastAsia="Times New Roman" w:cs="Times New Roman"/>
            <w:szCs w:val="24"/>
            <w:bdr w:val="none" w:sz="0" w:space="0" w:color="auto" w:frame="1"/>
          </w:rPr>
          <w:t>547</w:t>
        </w:r>
      </w:hyperlink>
      <w:r w:rsidRPr="00CA1BC1">
        <w:rPr>
          <w:rFonts w:eastAsia="Times New Roman" w:cs="Times New Roman"/>
          <w:szCs w:val="24"/>
        </w:rPr>
        <w:t>, </w:t>
      </w:r>
      <w:hyperlink r:id="rId39" w:history="1">
        <w:r w:rsidRPr="00CA1BC1">
          <w:rPr>
            <w:rFonts w:eastAsia="Times New Roman" w:cs="Times New Roman"/>
            <w:szCs w:val="24"/>
            <w:bdr w:val="none" w:sz="0" w:space="0" w:color="auto" w:frame="1"/>
          </w:rPr>
          <w:t>653</w:t>
        </w:r>
      </w:hyperlink>
      <w:r w:rsidRPr="00CA1BC1">
        <w:rPr>
          <w:rFonts w:eastAsia="Times New Roman" w:cs="Times New Roman"/>
          <w:szCs w:val="24"/>
        </w:rPr>
        <w:t>, </w:t>
      </w:r>
      <w:hyperlink r:id="rId40" w:history="1">
        <w:r w:rsidRPr="00CA1BC1">
          <w:rPr>
            <w:rFonts w:eastAsia="Times New Roman" w:cs="Times New Roman"/>
            <w:szCs w:val="24"/>
            <w:bdr w:val="none" w:sz="0" w:space="0" w:color="auto" w:frame="1"/>
          </w:rPr>
          <w:t>662</w:t>
        </w:r>
      </w:hyperlink>
      <w:r w:rsidRPr="00CA1BC1">
        <w:rPr>
          <w:rFonts w:eastAsia="Times New Roman" w:cs="Times New Roman"/>
          <w:szCs w:val="24"/>
        </w:rPr>
        <w:t>, </w:t>
      </w:r>
      <w:hyperlink r:id="rId41" w:history="1">
        <w:r w:rsidRPr="00CA1BC1">
          <w:rPr>
            <w:rFonts w:eastAsia="Times New Roman" w:cs="Times New Roman"/>
            <w:szCs w:val="24"/>
            <w:bdr w:val="none" w:sz="0" w:space="0" w:color="auto" w:frame="1"/>
          </w:rPr>
          <w:t>677</w:t>
        </w:r>
      </w:hyperlink>
      <w:r w:rsidRPr="00CA1BC1">
        <w:rPr>
          <w:rFonts w:eastAsia="Times New Roman" w:cs="Times New Roman"/>
          <w:szCs w:val="24"/>
        </w:rPr>
        <w:t>, </w:t>
      </w:r>
      <w:hyperlink r:id="rId42" w:history="1">
        <w:r w:rsidRPr="00CA1BC1">
          <w:rPr>
            <w:rFonts w:eastAsia="Times New Roman" w:cs="Times New Roman"/>
            <w:szCs w:val="24"/>
            <w:bdr w:val="none" w:sz="0" w:space="0" w:color="auto" w:frame="1"/>
          </w:rPr>
          <w:t>684</w:t>
        </w:r>
      </w:hyperlink>
      <w:r w:rsidRPr="00CA1BC1">
        <w:rPr>
          <w:rFonts w:eastAsia="Times New Roman" w:cs="Times New Roman"/>
          <w:szCs w:val="24"/>
        </w:rPr>
        <w:t>, </w:t>
      </w:r>
      <w:hyperlink r:id="rId43" w:history="1">
        <w:r w:rsidRPr="00CA1BC1">
          <w:rPr>
            <w:rFonts w:eastAsia="Times New Roman" w:cs="Times New Roman"/>
            <w:szCs w:val="24"/>
            <w:bdr w:val="none" w:sz="0" w:space="0" w:color="auto" w:frame="1"/>
          </w:rPr>
          <w:t>710</w:t>
        </w:r>
      </w:hyperlink>
      <w:r w:rsidRPr="00CA1BC1">
        <w:rPr>
          <w:rFonts w:eastAsia="Times New Roman" w:cs="Times New Roman"/>
          <w:szCs w:val="24"/>
        </w:rPr>
        <w:t>, </w:t>
      </w:r>
      <w:hyperlink r:id="rId44" w:history="1">
        <w:r w:rsidRPr="00CA1BC1">
          <w:rPr>
            <w:rFonts w:eastAsia="Times New Roman" w:cs="Times New Roman"/>
            <w:szCs w:val="24"/>
            <w:bdr w:val="none" w:sz="0" w:space="0" w:color="auto" w:frame="1"/>
          </w:rPr>
          <w:t>750</w:t>
        </w:r>
      </w:hyperlink>
      <w:r w:rsidRPr="00CA1BC1">
        <w:rPr>
          <w:rFonts w:eastAsia="Times New Roman" w:cs="Times New Roman"/>
          <w:szCs w:val="24"/>
        </w:rPr>
        <w:t>, </w:t>
      </w:r>
      <w:hyperlink r:id="rId45" w:history="1">
        <w:r w:rsidRPr="00CA1BC1">
          <w:rPr>
            <w:rFonts w:eastAsia="Times New Roman" w:cs="Times New Roman"/>
            <w:szCs w:val="24"/>
            <w:bdr w:val="none" w:sz="0" w:space="0" w:color="auto" w:frame="1"/>
          </w:rPr>
          <w:t>867</w:t>
        </w:r>
      </w:hyperlink>
      <w:r w:rsidRPr="00CA1BC1">
        <w:rPr>
          <w:rFonts w:eastAsia="Times New Roman" w:cs="Times New Roman"/>
          <w:szCs w:val="24"/>
        </w:rPr>
        <w:t>; 2001, c. </w:t>
      </w:r>
      <w:hyperlink r:id="rId46" w:history="1">
        <w:r w:rsidRPr="00CA1BC1">
          <w:rPr>
            <w:rFonts w:eastAsia="Times New Roman" w:cs="Times New Roman"/>
            <w:szCs w:val="24"/>
            <w:bdr w:val="none" w:sz="0" w:space="0" w:color="auto" w:frame="1"/>
          </w:rPr>
          <w:t>483</w:t>
        </w:r>
      </w:hyperlink>
      <w:r w:rsidRPr="00CA1BC1">
        <w:rPr>
          <w:rFonts w:eastAsia="Times New Roman" w:cs="Times New Roman"/>
          <w:szCs w:val="24"/>
        </w:rPr>
        <w:t>; 2002, c. </w:t>
      </w:r>
      <w:hyperlink r:id="rId47" w:history="1">
        <w:r w:rsidRPr="00CA1BC1">
          <w:rPr>
            <w:rFonts w:eastAsia="Times New Roman" w:cs="Times New Roman"/>
            <w:szCs w:val="24"/>
            <w:bdr w:val="none" w:sz="0" w:space="0" w:color="auto" w:frame="1"/>
          </w:rPr>
          <w:t>837</w:t>
        </w:r>
      </w:hyperlink>
      <w:r w:rsidRPr="00CA1BC1">
        <w:rPr>
          <w:rFonts w:eastAsia="Times New Roman" w:cs="Times New Roman"/>
          <w:szCs w:val="24"/>
        </w:rPr>
        <w:t>; 2003, cc. </w:t>
      </w:r>
      <w:hyperlink r:id="rId48" w:history="1">
        <w:r w:rsidRPr="00CA1BC1">
          <w:rPr>
            <w:rFonts w:eastAsia="Times New Roman" w:cs="Times New Roman"/>
            <w:szCs w:val="24"/>
            <w:bdr w:val="none" w:sz="0" w:space="0" w:color="auto" w:frame="1"/>
          </w:rPr>
          <w:t>690</w:t>
        </w:r>
      </w:hyperlink>
      <w:r w:rsidRPr="00CA1BC1">
        <w:rPr>
          <w:rFonts w:eastAsia="Times New Roman" w:cs="Times New Roman"/>
          <w:szCs w:val="24"/>
        </w:rPr>
        <w:t>, </w:t>
      </w:r>
      <w:hyperlink r:id="rId49" w:history="1">
        <w:r w:rsidRPr="00CA1BC1">
          <w:rPr>
            <w:rFonts w:eastAsia="Times New Roman" w:cs="Times New Roman"/>
            <w:szCs w:val="24"/>
            <w:bdr w:val="none" w:sz="0" w:space="0" w:color="auto" w:frame="1"/>
          </w:rPr>
          <w:t>697</w:t>
        </w:r>
      </w:hyperlink>
      <w:r w:rsidRPr="00CA1BC1">
        <w:rPr>
          <w:rFonts w:eastAsia="Times New Roman" w:cs="Times New Roman"/>
          <w:szCs w:val="24"/>
        </w:rPr>
        <w:t>, </w:t>
      </w:r>
      <w:hyperlink r:id="rId50" w:history="1">
        <w:r w:rsidRPr="00CA1BC1">
          <w:rPr>
            <w:rFonts w:eastAsia="Times New Roman" w:cs="Times New Roman"/>
            <w:szCs w:val="24"/>
            <w:bdr w:val="none" w:sz="0" w:space="0" w:color="auto" w:frame="1"/>
          </w:rPr>
          <w:t>714</w:t>
        </w:r>
      </w:hyperlink>
      <w:r w:rsidRPr="00CA1BC1">
        <w:rPr>
          <w:rFonts w:eastAsia="Times New Roman" w:cs="Times New Roman"/>
          <w:szCs w:val="24"/>
        </w:rPr>
        <w:t>, </w:t>
      </w:r>
      <w:hyperlink r:id="rId51" w:history="1">
        <w:r w:rsidRPr="00CA1BC1">
          <w:rPr>
            <w:rFonts w:eastAsia="Times New Roman" w:cs="Times New Roman"/>
            <w:szCs w:val="24"/>
            <w:bdr w:val="none" w:sz="0" w:space="0" w:color="auto" w:frame="1"/>
          </w:rPr>
          <w:t>861</w:t>
        </w:r>
      </w:hyperlink>
      <w:r w:rsidRPr="00CA1BC1">
        <w:rPr>
          <w:rFonts w:eastAsia="Times New Roman" w:cs="Times New Roman"/>
          <w:szCs w:val="24"/>
        </w:rPr>
        <w:t>; 2004, cc. </w:t>
      </w:r>
      <w:hyperlink r:id="rId52" w:history="1">
        <w:r w:rsidRPr="00CA1BC1">
          <w:rPr>
            <w:rFonts w:eastAsia="Times New Roman" w:cs="Times New Roman"/>
            <w:szCs w:val="24"/>
            <w:bdr w:val="none" w:sz="0" w:space="0" w:color="auto" w:frame="1"/>
          </w:rPr>
          <w:t>404</w:t>
        </w:r>
      </w:hyperlink>
      <w:r w:rsidRPr="00CA1BC1">
        <w:rPr>
          <w:rFonts w:eastAsia="Times New Roman" w:cs="Times New Roman"/>
          <w:szCs w:val="24"/>
        </w:rPr>
        <w:t>, </w:t>
      </w:r>
      <w:hyperlink r:id="rId53" w:history="1">
        <w:r w:rsidRPr="00CA1BC1">
          <w:rPr>
            <w:rFonts w:eastAsia="Times New Roman" w:cs="Times New Roman"/>
            <w:szCs w:val="24"/>
            <w:bdr w:val="none" w:sz="0" w:space="0" w:color="auto" w:frame="1"/>
          </w:rPr>
          <w:t>848</w:t>
        </w:r>
      </w:hyperlink>
      <w:r w:rsidRPr="00CA1BC1">
        <w:rPr>
          <w:rFonts w:eastAsia="Times New Roman" w:cs="Times New Roman"/>
          <w:szCs w:val="24"/>
        </w:rPr>
        <w:t>, </w:t>
      </w:r>
      <w:hyperlink r:id="rId54" w:history="1">
        <w:r w:rsidRPr="00CA1BC1">
          <w:rPr>
            <w:rFonts w:eastAsia="Times New Roman" w:cs="Times New Roman"/>
            <w:szCs w:val="24"/>
            <w:bdr w:val="none" w:sz="0" w:space="0" w:color="auto" w:frame="1"/>
          </w:rPr>
          <w:t>939</w:t>
        </w:r>
      </w:hyperlink>
      <w:r w:rsidRPr="00CA1BC1">
        <w:rPr>
          <w:rFonts w:eastAsia="Times New Roman" w:cs="Times New Roman"/>
          <w:szCs w:val="24"/>
        </w:rPr>
        <w:t>, </w:t>
      </w:r>
      <w:hyperlink r:id="rId55" w:history="1">
        <w:r w:rsidRPr="00CA1BC1">
          <w:rPr>
            <w:rFonts w:eastAsia="Times New Roman" w:cs="Times New Roman"/>
            <w:szCs w:val="24"/>
            <w:bdr w:val="none" w:sz="0" w:space="0" w:color="auto" w:frame="1"/>
          </w:rPr>
          <w:t>955</w:t>
        </w:r>
      </w:hyperlink>
      <w:r w:rsidRPr="00CA1BC1">
        <w:rPr>
          <w:rFonts w:eastAsia="Times New Roman" w:cs="Times New Roman"/>
          <w:szCs w:val="24"/>
        </w:rPr>
        <w:t>; 2005, cc. </w:t>
      </w:r>
      <w:hyperlink r:id="rId56" w:history="1">
        <w:r w:rsidRPr="00CA1BC1">
          <w:rPr>
            <w:rFonts w:eastAsia="Times New Roman" w:cs="Times New Roman"/>
            <w:szCs w:val="24"/>
            <w:bdr w:val="none" w:sz="0" w:space="0" w:color="auto" w:frame="1"/>
          </w:rPr>
          <w:t>331</w:t>
        </w:r>
      </w:hyperlink>
      <w:r w:rsidRPr="00CA1BC1">
        <w:rPr>
          <w:rFonts w:eastAsia="Times New Roman" w:cs="Times New Roman"/>
          <w:szCs w:val="24"/>
        </w:rPr>
        <w:t>, </w:t>
      </w:r>
      <w:hyperlink r:id="rId57" w:history="1">
        <w:r w:rsidRPr="00CA1BC1">
          <w:rPr>
            <w:rFonts w:eastAsia="Times New Roman" w:cs="Times New Roman"/>
            <w:szCs w:val="24"/>
            <w:bdr w:val="none" w:sz="0" w:space="0" w:color="auto" w:frame="1"/>
          </w:rPr>
          <w:t>450</w:t>
        </w:r>
      </w:hyperlink>
      <w:r w:rsidRPr="00CA1BC1">
        <w:rPr>
          <w:rFonts w:eastAsia="Times New Roman" w:cs="Times New Roman"/>
          <w:szCs w:val="24"/>
        </w:rPr>
        <w:t>; 2007, c. </w:t>
      </w:r>
      <w:hyperlink r:id="rId58" w:history="1">
        <w:r w:rsidRPr="00CA1BC1">
          <w:rPr>
            <w:rFonts w:eastAsia="Times New Roman" w:cs="Times New Roman"/>
            <w:szCs w:val="24"/>
            <w:bdr w:val="none" w:sz="0" w:space="0" w:color="auto" w:frame="1"/>
          </w:rPr>
          <w:t>234</w:t>
        </w:r>
      </w:hyperlink>
      <w:r w:rsidRPr="00CA1BC1">
        <w:rPr>
          <w:rFonts w:eastAsia="Times New Roman" w:cs="Times New Roman"/>
          <w:szCs w:val="24"/>
        </w:rPr>
        <w:t>; 2008, c. </w:t>
      </w:r>
      <w:hyperlink r:id="rId59" w:history="1">
        <w:r w:rsidRPr="00CA1BC1">
          <w:rPr>
            <w:rFonts w:eastAsia="Times New Roman" w:cs="Times New Roman"/>
            <w:szCs w:val="24"/>
            <w:bdr w:val="none" w:sz="0" w:space="0" w:color="auto" w:frame="1"/>
          </w:rPr>
          <w:t>661</w:t>
        </w:r>
      </w:hyperlink>
      <w:r w:rsidRPr="00CA1BC1">
        <w:rPr>
          <w:rFonts w:eastAsia="Times New Roman" w:cs="Times New Roman"/>
          <w:szCs w:val="24"/>
        </w:rPr>
        <w:t>; 2009, c. </w:t>
      </w:r>
      <w:hyperlink r:id="rId60" w:history="1">
        <w:r w:rsidRPr="00CA1BC1">
          <w:rPr>
            <w:rFonts w:eastAsia="Times New Roman" w:cs="Times New Roman"/>
            <w:szCs w:val="24"/>
            <w:bdr w:val="none" w:sz="0" w:space="0" w:color="auto" w:frame="1"/>
          </w:rPr>
          <w:t>802</w:t>
        </w:r>
      </w:hyperlink>
      <w:r w:rsidRPr="00CA1BC1">
        <w:rPr>
          <w:rFonts w:eastAsia="Times New Roman" w:cs="Times New Roman"/>
          <w:szCs w:val="24"/>
        </w:rPr>
        <w:t>; 2012, cc. </w:t>
      </w:r>
      <w:hyperlink r:id="rId61" w:history="1">
        <w:r w:rsidRPr="00CA1BC1">
          <w:rPr>
            <w:rFonts w:eastAsia="Times New Roman" w:cs="Times New Roman"/>
            <w:szCs w:val="24"/>
            <w:bdr w:val="none" w:sz="0" w:space="0" w:color="auto" w:frame="1"/>
          </w:rPr>
          <w:t>794</w:t>
        </w:r>
      </w:hyperlink>
      <w:r w:rsidRPr="00CA1BC1">
        <w:rPr>
          <w:rFonts w:eastAsia="Times New Roman" w:cs="Times New Roman"/>
          <w:szCs w:val="24"/>
        </w:rPr>
        <w:t>, </w:t>
      </w:r>
      <w:hyperlink r:id="rId62" w:history="1">
        <w:r w:rsidRPr="00CA1BC1">
          <w:rPr>
            <w:rFonts w:eastAsia="Times New Roman" w:cs="Times New Roman"/>
            <w:szCs w:val="24"/>
            <w:bdr w:val="none" w:sz="0" w:space="0" w:color="auto" w:frame="1"/>
          </w:rPr>
          <w:t>845</w:t>
        </w:r>
      </w:hyperlink>
      <w:r w:rsidRPr="00CA1BC1">
        <w:rPr>
          <w:rFonts w:eastAsia="Times New Roman" w:cs="Times New Roman"/>
          <w:szCs w:val="24"/>
        </w:rPr>
        <w:t>; 2013, cc. </w:t>
      </w:r>
      <w:hyperlink r:id="rId63" w:history="1">
        <w:r w:rsidRPr="00CA1BC1">
          <w:rPr>
            <w:rFonts w:eastAsia="Times New Roman" w:cs="Times New Roman"/>
            <w:szCs w:val="24"/>
            <w:bdr w:val="none" w:sz="0" w:space="0" w:color="auto" w:frame="1"/>
          </w:rPr>
          <w:t>123</w:t>
        </w:r>
      </w:hyperlink>
      <w:r w:rsidRPr="00CA1BC1">
        <w:rPr>
          <w:rFonts w:eastAsia="Times New Roman" w:cs="Times New Roman"/>
          <w:szCs w:val="24"/>
        </w:rPr>
        <w:t>, </w:t>
      </w:r>
      <w:hyperlink r:id="rId64" w:history="1">
        <w:r w:rsidRPr="00CA1BC1">
          <w:rPr>
            <w:rFonts w:eastAsia="Times New Roman" w:cs="Times New Roman"/>
            <w:szCs w:val="24"/>
            <w:bdr w:val="none" w:sz="0" w:space="0" w:color="auto" w:frame="1"/>
          </w:rPr>
          <w:t>157</w:t>
        </w:r>
      </w:hyperlink>
      <w:r w:rsidRPr="00CA1BC1">
        <w:rPr>
          <w:rFonts w:eastAsia="Times New Roman" w:cs="Times New Roman"/>
          <w:szCs w:val="24"/>
        </w:rPr>
        <w:t>, </w:t>
      </w:r>
      <w:hyperlink r:id="rId65" w:history="1">
        <w:r w:rsidRPr="00CA1BC1">
          <w:rPr>
            <w:rFonts w:eastAsia="Times New Roman" w:cs="Times New Roman"/>
            <w:szCs w:val="24"/>
            <w:bdr w:val="none" w:sz="0" w:space="0" w:color="auto" w:frame="1"/>
          </w:rPr>
          <w:t>498</w:t>
        </w:r>
      </w:hyperlink>
      <w:r w:rsidRPr="00CA1BC1">
        <w:rPr>
          <w:rFonts w:eastAsia="Times New Roman" w:cs="Times New Roman"/>
          <w:szCs w:val="24"/>
        </w:rPr>
        <w:t>, </w:t>
      </w:r>
      <w:hyperlink r:id="rId66" w:history="1">
        <w:r w:rsidRPr="00CA1BC1">
          <w:rPr>
            <w:rFonts w:eastAsia="Times New Roman" w:cs="Times New Roman"/>
            <w:szCs w:val="24"/>
            <w:bdr w:val="none" w:sz="0" w:space="0" w:color="auto" w:frame="1"/>
          </w:rPr>
          <w:t>530</w:t>
        </w:r>
      </w:hyperlink>
      <w:r w:rsidRPr="00CA1BC1">
        <w:rPr>
          <w:rFonts w:eastAsia="Times New Roman" w:cs="Times New Roman"/>
          <w:szCs w:val="24"/>
        </w:rPr>
        <w:t>; 2014, c. </w:t>
      </w:r>
      <w:hyperlink r:id="rId67" w:history="1">
        <w:r w:rsidRPr="00CA1BC1">
          <w:rPr>
            <w:rFonts w:eastAsia="Times New Roman" w:cs="Times New Roman"/>
            <w:szCs w:val="24"/>
            <w:bdr w:val="none" w:sz="0" w:space="0" w:color="auto" w:frame="1"/>
          </w:rPr>
          <w:t>472</w:t>
        </w:r>
      </w:hyperlink>
      <w:r w:rsidRPr="00CA1BC1">
        <w:rPr>
          <w:rFonts w:eastAsia="Times New Roman" w:cs="Times New Roman"/>
          <w:szCs w:val="24"/>
        </w:rPr>
        <w:t>; 2015, cc. </w:t>
      </w:r>
      <w:hyperlink r:id="rId68" w:history="1">
        <w:r w:rsidRPr="00CA1BC1">
          <w:rPr>
            <w:rFonts w:eastAsia="Times New Roman" w:cs="Times New Roman"/>
            <w:szCs w:val="24"/>
            <w:bdr w:val="none" w:sz="0" w:space="0" w:color="auto" w:frame="1"/>
          </w:rPr>
          <w:t>562</w:t>
        </w:r>
      </w:hyperlink>
      <w:r w:rsidRPr="00CA1BC1">
        <w:rPr>
          <w:rFonts w:eastAsia="Times New Roman" w:cs="Times New Roman"/>
          <w:szCs w:val="24"/>
        </w:rPr>
        <w:t>, </w:t>
      </w:r>
      <w:hyperlink r:id="rId69" w:history="1">
        <w:r w:rsidRPr="00CA1BC1">
          <w:rPr>
            <w:rFonts w:eastAsia="Times New Roman" w:cs="Times New Roman"/>
            <w:szCs w:val="24"/>
            <w:bdr w:val="none" w:sz="0" w:space="0" w:color="auto" w:frame="1"/>
          </w:rPr>
          <w:t>589</w:t>
        </w:r>
      </w:hyperlink>
      <w:r w:rsidRPr="00CA1BC1">
        <w:rPr>
          <w:rFonts w:eastAsia="Times New Roman" w:cs="Times New Roman"/>
          <w:szCs w:val="24"/>
        </w:rPr>
        <w:t>; 2016, cc. </w:t>
      </w:r>
      <w:hyperlink r:id="rId70" w:history="1">
        <w:r w:rsidRPr="00CA1BC1">
          <w:rPr>
            <w:rFonts w:eastAsia="Times New Roman" w:cs="Times New Roman"/>
            <w:szCs w:val="24"/>
            <w:bdr w:val="none" w:sz="0" w:space="0" w:color="auto" w:frame="1"/>
          </w:rPr>
          <w:t>146</w:t>
        </w:r>
      </w:hyperlink>
      <w:r w:rsidRPr="00CA1BC1">
        <w:rPr>
          <w:rFonts w:eastAsia="Times New Roman" w:cs="Times New Roman"/>
          <w:szCs w:val="24"/>
        </w:rPr>
        <w:t>, </w:t>
      </w:r>
      <w:hyperlink r:id="rId71" w:history="1">
        <w:r w:rsidRPr="00CA1BC1">
          <w:rPr>
            <w:rFonts w:eastAsia="Times New Roman" w:cs="Times New Roman"/>
            <w:szCs w:val="24"/>
            <w:bdr w:val="none" w:sz="0" w:space="0" w:color="auto" w:frame="1"/>
          </w:rPr>
          <w:t>155</w:t>
        </w:r>
      </w:hyperlink>
      <w:r w:rsidRPr="00CA1BC1">
        <w:rPr>
          <w:rFonts w:eastAsia="Times New Roman" w:cs="Times New Roman"/>
          <w:szCs w:val="24"/>
        </w:rPr>
        <w:t>, </w:t>
      </w:r>
      <w:hyperlink r:id="rId72" w:history="1">
        <w:r w:rsidRPr="00CA1BC1">
          <w:rPr>
            <w:rFonts w:eastAsia="Times New Roman" w:cs="Times New Roman"/>
            <w:szCs w:val="24"/>
            <w:bdr w:val="none" w:sz="0" w:space="0" w:color="auto" w:frame="1"/>
          </w:rPr>
          <w:t>472</w:t>
        </w:r>
      </w:hyperlink>
      <w:r w:rsidRPr="00CA1BC1">
        <w:rPr>
          <w:rFonts w:eastAsia="Times New Roman" w:cs="Times New Roman"/>
          <w:szCs w:val="24"/>
        </w:rPr>
        <w:t>, </w:t>
      </w:r>
      <w:hyperlink r:id="rId73" w:history="1">
        <w:r w:rsidRPr="00CA1BC1">
          <w:rPr>
            <w:rFonts w:eastAsia="Times New Roman" w:cs="Times New Roman"/>
            <w:szCs w:val="24"/>
            <w:bdr w:val="none" w:sz="0" w:space="0" w:color="auto" w:frame="1"/>
          </w:rPr>
          <w:t>737</w:t>
        </w:r>
      </w:hyperlink>
      <w:r w:rsidRPr="00CA1BC1">
        <w:rPr>
          <w:rFonts w:eastAsia="Times New Roman" w:cs="Times New Roman"/>
          <w:szCs w:val="24"/>
        </w:rPr>
        <w:t>; 2017, c. </w:t>
      </w:r>
      <w:hyperlink r:id="rId74" w:history="1">
        <w:r w:rsidRPr="00CA1BC1">
          <w:rPr>
            <w:rFonts w:eastAsia="Times New Roman" w:cs="Times New Roman"/>
            <w:szCs w:val="24"/>
            <w:bdr w:val="none" w:sz="0" w:space="0" w:color="auto" w:frame="1"/>
          </w:rPr>
          <w:t>100</w:t>
        </w:r>
      </w:hyperlink>
      <w:r w:rsidRPr="00CA1BC1">
        <w:rPr>
          <w:rFonts w:eastAsia="Times New Roman" w:cs="Times New Roman"/>
          <w:szCs w:val="24"/>
        </w:rPr>
        <w:t>; 2018, cc. </w:t>
      </w:r>
      <w:hyperlink r:id="rId75" w:history="1">
        <w:r w:rsidRPr="00CA1BC1">
          <w:rPr>
            <w:rFonts w:eastAsia="Times New Roman" w:cs="Times New Roman"/>
            <w:szCs w:val="24"/>
            <w:bdr w:val="none" w:sz="0" w:space="0" w:color="auto" w:frame="1"/>
          </w:rPr>
          <w:t>138</w:t>
        </w:r>
      </w:hyperlink>
      <w:r w:rsidRPr="00CA1BC1">
        <w:rPr>
          <w:rFonts w:eastAsia="Times New Roman" w:cs="Times New Roman"/>
          <w:szCs w:val="24"/>
        </w:rPr>
        <w:t>, </w:t>
      </w:r>
      <w:hyperlink r:id="rId76" w:history="1">
        <w:r w:rsidRPr="00CA1BC1">
          <w:rPr>
            <w:rFonts w:eastAsia="Times New Roman" w:cs="Times New Roman"/>
            <w:szCs w:val="24"/>
            <w:bdr w:val="none" w:sz="0" w:space="0" w:color="auto" w:frame="1"/>
          </w:rPr>
          <w:t>484</w:t>
        </w:r>
      </w:hyperlink>
      <w:r w:rsidRPr="00CA1BC1">
        <w:rPr>
          <w:rFonts w:eastAsia="Times New Roman" w:cs="Times New Roman"/>
          <w:szCs w:val="24"/>
        </w:rPr>
        <w:t>, </w:t>
      </w:r>
      <w:hyperlink r:id="rId77" w:history="1">
        <w:r w:rsidRPr="00CA1BC1">
          <w:rPr>
            <w:rFonts w:eastAsia="Times New Roman" w:cs="Times New Roman"/>
            <w:szCs w:val="24"/>
            <w:bdr w:val="none" w:sz="0" w:space="0" w:color="auto" w:frame="1"/>
          </w:rPr>
          <w:t>485</w:t>
        </w:r>
      </w:hyperlink>
      <w:r w:rsidRPr="00CA1BC1">
        <w:rPr>
          <w:rFonts w:eastAsia="Times New Roman" w:cs="Times New Roman"/>
          <w:szCs w:val="24"/>
        </w:rPr>
        <w:t>, </w:t>
      </w:r>
      <w:hyperlink r:id="rId78" w:history="1">
        <w:r w:rsidRPr="00CA1BC1">
          <w:rPr>
            <w:rFonts w:eastAsia="Times New Roman" w:cs="Times New Roman"/>
            <w:szCs w:val="24"/>
            <w:bdr w:val="none" w:sz="0" w:space="0" w:color="auto" w:frame="1"/>
          </w:rPr>
          <w:t>748</w:t>
        </w:r>
      </w:hyperlink>
      <w:r w:rsidRPr="00CA1BC1">
        <w:rPr>
          <w:rFonts w:eastAsia="Times New Roman" w:cs="Times New Roman"/>
          <w:szCs w:val="24"/>
        </w:rPr>
        <w:t>, </w:t>
      </w:r>
      <w:hyperlink r:id="rId79" w:history="1">
        <w:r w:rsidRPr="00CA1BC1">
          <w:rPr>
            <w:rFonts w:eastAsia="Times New Roman" w:cs="Times New Roman"/>
            <w:szCs w:val="24"/>
            <w:bdr w:val="none" w:sz="0" w:space="0" w:color="auto" w:frame="1"/>
          </w:rPr>
          <w:t>749</w:t>
        </w:r>
      </w:hyperlink>
      <w:r w:rsidRPr="00CA1BC1">
        <w:rPr>
          <w:rFonts w:eastAsia="Times New Roman" w:cs="Times New Roman"/>
          <w:szCs w:val="24"/>
        </w:rPr>
        <w:t>; 2019, c. </w:t>
      </w:r>
      <w:hyperlink r:id="rId80" w:history="1">
        <w:r w:rsidRPr="00CA1BC1">
          <w:rPr>
            <w:rFonts w:eastAsia="Times New Roman" w:cs="Times New Roman"/>
            <w:szCs w:val="24"/>
            <w:bdr w:val="none" w:sz="0" w:space="0" w:color="auto" w:frame="1"/>
          </w:rPr>
          <w:t>582</w:t>
        </w:r>
      </w:hyperlink>
      <w:r w:rsidRPr="00CA1BC1">
        <w:rPr>
          <w:rFonts w:eastAsia="Times New Roman" w:cs="Times New Roman"/>
          <w:szCs w:val="24"/>
        </w:rPr>
        <w:t>; 2020, c. </w:t>
      </w:r>
      <w:hyperlink r:id="rId81" w:history="1">
        <w:r w:rsidRPr="00CA1BC1">
          <w:rPr>
            <w:rFonts w:eastAsia="Times New Roman" w:cs="Times New Roman"/>
            <w:szCs w:val="24"/>
            <w:bdr w:val="none" w:sz="0" w:space="0" w:color="auto" w:frame="1"/>
          </w:rPr>
          <w:t>637</w:t>
        </w:r>
      </w:hyperlink>
      <w:r w:rsidRPr="00CA1BC1">
        <w:rPr>
          <w:rFonts w:eastAsia="Times New Roman" w:cs="Times New Roman"/>
          <w:szCs w:val="24"/>
        </w:rPr>
        <w:t>.</w:t>
      </w:r>
    </w:p>
    <w:p w:rsidR="00CA1BC1" w:rsidRPr="00F3758E" w:rsidRDefault="00CA1BC1" w:rsidP="00CA1BC1">
      <w:pPr>
        <w:pStyle w:val="Heading2"/>
        <w:rPr>
          <w:color w:val="auto"/>
        </w:rPr>
      </w:pPr>
      <w:r w:rsidRPr="00F3758E">
        <w:rPr>
          <w:color w:val="auto"/>
        </w:rPr>
        <w:t xml:space="preserve">§ 22.1-253.13:2. Standard </w:t>
      </w:r>
      <w:proofErr w:type="gramStart"/>
      <w:r w:rsidRPr="00F3758E">
        <w:rPr>
          <w:color w:val="auto"/>
        </w:rPr>
        <w:t>2</w:t>
      </w:r>
      <w:proofErr w:type="gramEnd"/>
      <w:r w:rsidRPr="00F3758E">
        <w:rPr>
          <w:color w:val="auto"/>
        </w:rPr>
        <w:t>. Instructional, administrative, and support personnel.</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 xml:space="preserve">A. </w:t>
      </w:r>
      <w:proofErr w:type="gramStart"/>
      <w:r w:rsidRPr="00CA1BC1">
        <w:rPr>
          <w:rFonts w:eastAsia="Times New Roman" w:cs="Times New Roman"/>
          <w:szCs w:val="24"/>
        </w:rPr>
        <w:t>The</w:t>
      </w:r>
      <w:proofErr w:type="gramEnd"/>
      <w:r w:rsidRPr="00CA1BC1">
        <w:rPr>
          <w:rFonts w:eastAsia="Times New Roman" w:cs="Times New Roman"/>
          <w:szCs w:val="24"/>
        </w:rPr>
        <w:t xml:space="preserve"> Board shall establish requirements for the licensing of teachers, principals, superintendents, and other professional personnel.</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lastRenderedPageBreak/>
        <w:t>B. School boards shall employ licensed instructional personnel qualified in the relevant subject areas.</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 xml:space="preserve">C. Each school board shall assign licensed instructional personnel in a manner that produces </w:t>
      </w:r>
      <w:proofErr w:type="spellStart"/>
      <w:r w:rsidRPr="00CA1BC1">
        <w:rPr>
          <w:rFonts w:eastAsia="Times New Roman" w:cs="Times New Roman"/>
          <w:szCs w:val="24"/>
        </w:rPr>
        <w:t>divisionwide</w:t>
      </w:r>
      <w:proofErr w:type="spellEnd"/>
      <w:r w:rsidRPr="00CA1BC1">
        <w:rPr>
          <w:rFonts w:eastAsia="Times New Roman" w:cs="Times New Roman"/>
          <w:szCs w:val="24"/>
        </w:rPr>
        <w:t xml:space="preserve"> ratios of students in average daily membership to full-time equivalent teaching positions, excluding special education teachers, principals, assistant principals, school counselors, and librarians, that are not greater than the following ratios: (</w:t>
      </w:r>
      <w:proofErr w:type="spellStart"/>
      <w:r w:rsidRPr="00CA1BC1">
        <w:rPr>
          <w:rFonts w:eastAsia="Times New Roman" w:cs="Times New Roman"/>
          <w:szCs w:val="24"/>
        </w:rPr>
        <w:t>i</w:t>
      </w:r>
      <w:proofErr w:type="spellEnd"/>
      <w:r w:rsidRPr="00CA1BC1">
        <w:rPr>
          <w:rFonts w:eastAsia="Times New Roman" w:cs="Times New Roman"/>
          <w:szCs w:val="24"/>
        </w:rPr>
        <w:t>) 24 to one in kindergarten with no class being larger than 29 students; if the average daily membership in any kindergarten class exceeds 24 pupils, a full-time teacher's aide shall be assigned to the class; (ii) 24 to one in grades one, two, and three with no class being larger than 30 students; (iii) 25 to one in grades four through six with no class being larger than 35 students; and (iv) 24 to one in English classes in grades six through 12. After September 30 of any school year, anytime the number of students in a class exceeds the class size limit established by this subsection, the local school division shall notify the parent of each student in such class of such fact no later than 10 days after the date on which the class exceeded the class size limit. Such notification shall state the reason that the class size exceeds the class size limit and describe the measures that the local school division will take to reduce the class size to comply with this subsection.</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Within its regulations governing special education programs, the Board shall seek to set pupil/teacher ratios for pupils with intellectual disability that do not exceed the pupil/teacher ratios for self-contained classes for pupils with specific learning disabilities.</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 xml:space="preserve">Further, school boards shall assign instructional personnel in a manner that produces </w:t>
      </w:r>
      <w:proofErr w:type="spellStart"/>
      <w:r w:rsidRPr="00CA1BC1">
        <w:rPr>
          <w:rFonts w:eastAsia="Times New Roman" w:cs="Times New Roman"/>
          <w:szCs w:val="24"/>
        </w:rPr>
        <w:t>schoolwide</w:t>
      </w:r>
      <w:proofErr w:type="spellEnd"/>
      <w:r w:rsidRPr="00CA1BC1">
        <w:rPr>
          <w:rFonts w:eastAsia="Times New Roman" w:cs="Times New Roman"/>
          <w:szCs w:val="24"/>
        </w:rPr>
        <w:t xml:space="preserve"> ratios of students in average daily memberships to full-time equivalent teaching positions of 21 to one in middle schools and high schools. School divisions shall provide all middle and high school teachers with one planning period per day or the equivalent, unencumbered of any teaching or supervisory duties.</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D. (Effective until July 1, 2022) Each local school board shall employ with state and local basic, special education, gifted, and career and technical education funds a minimum number of licensed, full-time equivalent instructional personnel for each 1,000 students in average daily membership (ADM) as set forth in the appropriation act. Calculations of kindergarten positions shall be based on full-day kindergarten programs. Beginning with the March 31 report of average daily membership, those school divisions offering half-day kindergarten with pupil/teacher ratios that exceed 30 to one shall adjust their average daily membership for kindergarten to reflect 85 percent of the total kindergarten average daily memberships, as provided in the appropriation act.</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D. (Effective July 1, 2022) Each local school board shall employ with state and local basic, special education, gifted, and career and technical education funds a minimum number of licensed, full-time equivalent instructional personnel for each 1,000 students in average daily membership (ADM) as set forth in the appropriation act.</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 xml:space="preserve">E. In addition to the positions supported by basic aid and in support of regular school year programs of prevention, intervention, and remediation, state funding, pursuant to the appropriation act, shall be provided to fund certain full-time equivalent instructional positions for each 1,000 students in grades K through 12 who are identified as needing prevention, intervention, and remediation services. State funding for prevention, intervention, and </w:t>
      </w:r>
      <w:r w:rsidRPr="00CA1BC1">
        <w:rPr>
          <w:rFonts w:eastAsia="Times New Roman" w:cs="Times New Roman"/>
          <w:szCs w:val="24"/>
        </w:rPr>
        <w:lastRenderedPageBreak/>
        <w:t>remediation programs provided pursuant to this subsection and the appropriation act may be used to support programs for educationally at-risk students as identified by the local school boards.</w:t>
      </w:r>
    </w:p>
    <w:p w:rsidR="00CA1BC1" w:rsidRPr="00CA1BC1" w:rsidRDefault="00CA1BC1" w:rsidP="00CA1BC1">
      <w:pPr>
        <w:spacing w:after="0" w:line="240" w:lineRule="auto"/>
        <w:textAlignment w:val="baseline"/>
        <w:rPr>
          <w:rFonts w:eastAsia="Times New Roman" w:cs="Times New Roman"/>
          <w:szCs w:val="24"/>
        </w:rPr>
      </w:pPr>
      <w:r w:rsidRPr="00CA1BC1">
        <w:rPr>
          <w:rFonts w:eastAsia="Times New Roman" w:cs="Times New Roman"/>
          <w:szCs w:val="24"/>
        </w:rPr>
        <w:t xml:space="preserve">To provide </w:t>
      </w:r>
      <w:proofErr w:type="gramStart"/>
      <w:r w:rsidRPr="00CA1BC1">
        <w:rPr>
          <w:rFonts w:eastAsia="Times New Roman" w:cs="Times New Roman"/>
          <w:szCs w:val="24"/>
        </w:rPr>
        <w:t>algebra readiness intervention services</w:t>
      </w:r>
      <w:proofErr w:type="gramEnd"/>
      <w:r w:rsidRPr="00CA1BC1">
        <w:rPr>
          <w:rFonts w:eastAsia="Times New Roman" w:cs="Times New Roman"/>
          <w:szCs w:val="24"/>
        </w:rPr>
        <w:t xml:space="preserve"> required by § </w:t>
      </w:r>
      <w:hyperlink r:id="rId82" w:history="1">
        <w:r w:rsidRPr="00CA1BC1">
          <w:rPr>
            <w:rFonts w:eastAsia="Times New Roman" w:cs="Times New Roman"/>
            <w:szCs w:val="24"/>
            <w:bdr w:val="none" w:sz="0" w:space="0" w:color="auto" w:frame="1"/>
          </w:rPr>
          <w:t>22.1-253.13:1</w:t>
        </w:r>
      </w:hyperlink>
      <w:r w:rsidRPr="00CA1BC1">
        <w:rPr>
          <w:rFonts w:eastAsia="Times New Roman" w:cs="Times New Roman"/>
          <w:szCs w:val="24"/>
        </w:rPr>
        <w:t>, school divisions may employ mathematics teacher specialists to provide the required algebra readiness intervention services. School divisions using the Standards of Learning Algebra Readiness Initiative funding in this manner shall only employ instructional personnel licensed by the Board of Education.</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F. In addition to the positions supported by basic aid and those in support of regular school year programs of prevention, intervention, and remediation, state funding, pursuant to the general appropriation act, shall be provided to support (</w:t>
      </w:r>
      <w:proofErr w:type="spellStart"/>
      <w:r w:rsidRPr="00CA1BC1">
        <w:rPr>
          <w:rFonts w:eastAsia="Times New Roman" w:cs="Times New Roman"/>
          <w:szCs w:val="24"/>
        </w:rPr>
        <w:t>i</w:t>
      </w:r>
      <w:proofErr w:type="spellEnd"/>
      <w:r w:rsidRPr="00CA1BC1">
        <w:rPr>
          <w:rFonts w:eastAsia="Times New Roman" w:cs="Times New Roman"/>
          <w:szCs w:val="24"/>
        </w:rPr>
        <w:t>) 18.5 full-time equivalent instructional positions in the 2020-2021 school year for each 1,000 students identified as having limited English proficiency and (ii) 20 full-time equivalent instructional positions in the 2021-2022 school year and thereafter for each 1,000 students identified as having limited English proficiency, which positions may include dual language teachers who provide instruction in English and in a second language.</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To provide flexibility in the instruction of English language learners who have limited English proficiency and who are at risk of not meeting state accountability standards, school divisions may use state and local funds from the Standards of Quality Prevention, Intervention, and Remediation account to employ additional English language learner teachers or dual language teachers to provide instruction to identified limited English proficiency students. Using these funds in this manner is intended to supplement the instructional services provided in this section. School divisions using the SOQ Prevention, Intervention, and Remediation funds in this manner shall employ only instructional personnel licensed by the Board of Education.</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G. In addition to the full-time equivalent positions required elsewhere in this section, each local school board shall employ the following reading specialists in elementary schools, one full-time in each elementary school at the discretion of the local school board. One reading specialist employed by each local school board that employs a reading specialist shall have training in the identification of and the appropriate interventions, accommodations, and teaching techniques for students with dyslexia or a related disorder and shall serve as an advisor on dyslexia and related disorders. Such reading specialist shall have an understanding of the definition of dyslexia and a working knowledge of (</w:t>
      </w:r>
      <w:proofErr w:type="spellStart"/>
      <w:r w:rsidRPr="00CA1BC1">
        <w:rPr>
          <w:rFonts w:eastAsia="Times New Roman" w:cs="Times New Roman"/>
          <w:szCs w:val="24"/>
        </w:rPr>
        <w:t>i</w:t>
      </w:r>
      <w:proofErr w:type="spellEnd"/>
      <w:r w:rsidRPr="00CA1BC1">
        <w:rPr>
          <w:rFonts w:eastAsia="Times New Roman" w:cs="Times New Roman"/>
          <w:szCs w:val="24"/>
        </w:rPr>
        <w:t>) techniques to help a student on the continuum of skills with dyslexia; (ii) dyslexia characteristics that may manifest at different ages and grade levels; (iii) the basic foundation of the keys to reading, including multisensory, explicit, systemic, and structured reading instruction; and (iv) appropriate interventions, accommodations, and assistive technology supports for students with dyslexia.</w:t>
      </w:r>
    </w:p>
    <w:p w:rsidR="00CA1BC1" w:rsidRPr="00CA1BC1" w:rsidRDefault="00CA1BC1" w:rsidP="00CA1BC1">
      <w:pPr>
        <w:spacing w:after="0" w:line="240" w:lineRule="auto"/>
        <w:textAlignment w:val="baseline"/>
        <w:rPr>
          <w:rFonts w:eastAsia="Times New Roman" w:cs="Times New Roman"/>
          <w:szCs w:val="24"/>
        </w:rPr>
      </w:pPr>
      <w:r w:rsidRPr="00CA1BC1">
        <w:rPr>
          <w:rFonts w:eastAsia="Times New Roman" w:cs="Times New Roman"/>
          <w:szCs w:val="24"/>
        </w:rPr>
        <w:t>To provide reading intervention services required by § </w:t>
      </w:r>
      <w:hyperlink r:id="rId83" w:history="1">
        <w:r w:rsidRPr="00CA1BC1">
          <w:rPr>
            <w:rFonts w:eastAsia="Times New Roman" w:cs="Times New Roman"/>
            <w:szCs w:val="24"/>
            <w:bdr w:val="none" w:sz="0" w:space="0" w:color="auto" w:frame="1"/>
          </w:rPr>
          <w:t>22.1-253.13:1</w:t>
        </w:r>
      </w:hyperlink>
      <w:r w:rsidRPr="00CA1BC1">
        <w:rPr>
          <w:rFonts w:eastAsia="Times New Roman" w:cs="Times New Roman"/>
          <w:szCs w:val="24"/>
        </w:rPr>
        <w:t>, school divisions may employ reading specialists to provide the required reading intervention services. School divisions using the Early Reading Intervention Initiative funds in this manner shall employ only instructional personnel licensed by the Board of Education.</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H. Each local school board shall employ, at a minimum, the following full-time equivalent positions for any school that reports fall membership, according to the type of school and student enrollment:</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lastRenderedPageBreak/>
        <w:t>1. Principals in elementary schools, one half-time to 299 students, one full-time at 300 students; principals in middle schools, one full-time, to be employed on a 12-month basis; principals in high schools, one full-time, to be employed on a 12-month basis;</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2. Assistant principals in elementary schools, one half-time at 600 students, one full-time at 900 students; assistant principals in middle schools, one full-time for each 600 students; assistant principals in high schools, one full-time for each 600 students; and school divisions that employ a sufficient number of assistant principals to meet this staffing requirement may assign assistant principals to schools within the division according to the area of greatest need, regardless of whether such schools are elementary, middle, or secondary;</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3. Librarians in elementary schools, one part-time to 299 students, one full-time at 300 students; librarians in middle schools, one-half time to 299 students, one full-time at 300 students, two full-time at 1,000 students; librarians in high schools, one half-time to 299 students, one full-time at 300 students, two full-time at 1,000 students. Local school divisions that employ a sufficient number of librarians to meet this staffing requirement may assign librarians to schools within the division according to the area of greatest need, regardless of whether such schools are elementary, middle, or secondary; and</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4. School counselors:</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a. Effective with the 2020-2021 school year, in elementary schools, one hour per day per 75 students, one full-time at 375 students, one hour per day additional time per 75 students or major fraction thereof; in middle schools, one period per 65 students, one full-time at 325 students, one additional period per 65 students or major fraction thereof; in high schools, one period per 60 students, one full-time at 300 students, one additional period per 60 students or major fraction thereof.</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 xml:space="preserve">b. Effective with the 2021-2022 school year, local school boards shall employ one full-time </w:t>
      </w:r>
      <w:proofErr w:type="gramStart"/>
      <w:r w:rsidRPr="00CA1BC1">
        <w:rPr>
          <w:rFonts w:eastAsia="Times New Roman" w:cs="Times New Roman"/>
          <w:szCs w:val="24"/>
        </w:rPr>
        <w:t>equivalent school counselor position</w:t>
      </w:r>
      <w:proofErr w:type="gramEnd"/>
      <w:r w:rsidRPr="00CA1BC1">
        <w:rPr>
          <w:rFonts w:eastAsia="Times New Roman" w:cs="Times New Roman"/>
          <w:szCs w:val="24"/>
        </w:rPr>
        <w:t xml:space="preserve"> per 325 students in grades kindergarten through 12.</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 xml:space="preserve">c. Local school divisions that employ a sufficient number of school counselors to meet the school counselor staffing requirements set forth in this subdivision may assign school counselors to schools within the division according to the area of greatest need, </w:t>
      </w:r>
      <w:proofErr w:type="gramStart"/>
      <w:r w:rsidRPr="00CA1BC1">
        <w:rPr>
          <w:rFonts w:eastAsia="Times New Roman" w:cs="Times New Roman"/>
          <w:szCs w:val="24"/>
        </w:rPr>
        <w:t>regardless of whether such schools are elementary, middle, or high schools</w:t>
      </w:r>
      <w:proofErr w:type="gramEnd"/>
      <w:r w:rsidRPr="00CA1BC1">
        <w:rPr>
          <w:rFonts w:eastAsia="Times New Roman" w:cs="Times New Roman"/>
          <w:szCs w:val="24"/>
        </w:rPr>
        <w:t>.</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I. Local school boards shall employ five full-time equivalent positions per 1,000 students in grades kindergarten through five to serve as elementary resource teachers in art, music, and physical education.</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J. Local school boards shall employ two full-time equivalent positions per 1,000 students in grades kindergarten through 12, one to provide technology support and one to serve as an instructional technology resource teacher.</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 xml:space="preserve">To provide flexibility, school divisions may use the state and local funds for instructional technology resource teachers to employ a data coordinator position, an instructional </w:t>
      </w:r>
      <w:proofErr w:type="gramStart"/>
      <w:r w:rsidRPr="00CA1BC1">
        <w:rPr>
          <w:rFonts w:eastAsia="Times New Roman" w:cs="Times New Roman"/>
          <w:szCs w:val="24"/>
        </w:rPr>
        <w:t>technology resource teacher position</w:t>
      </w:r>
      <w:proofErr w:type="gramEnd"/>
      <w:r w:rsidRPr="00CA1BC1">
        <w:rPr>
          <w:rFonts w:eastAsia="Times New Roman" w:cs="Times New Roman"/>
          <w:szCs w:val="24"/>
        </w:rPr>
        <w:t xml:space="preserve">, or a data coordinator/instructional resource teacher blended position. The data coordinator position is intended to serve as a resource to principals and classroom teachers in the area of data analysis and interpretation for instructional and school improvement </w:t>
      </w:r>
      <w:r w:rsidRPr="00CA1BC1">
        <w:rPr>
          <w:rFonts w:eastAsia="Times New Roman" w:cs="Times New Roman"/>
          <w:szCs w:val="24"/>
        </w:rPr>
        <w:lastRenderedPageBreak/>
        <w:t>purposes, as well as for overall data management and administration of state assessments. School divisions using these funds in this manner shall employ only instructional personnel licensed by the Board of Education.</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K. Local school boards may employ additional positions that exceed these minimal staffing requirements. These additional positions may include, but are not limited to, those funded through the state's incentive and categorical programs as set forth in the appropriation act.</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L. A combined school, such as kindergarten through 12, shall meet at all grade levels the staffing requirements for the highest grade level in that school; this requirement shall apply to all staff, except for school counselors, and shall be based on the school's total enrollment; school counselor staff requirements shall, however, be based on the enrollment at the various school organization levels, i.e., elementary, middle, or high school. The Board of Education may grant waivers from these staffing levels upon request from local school boards seeking to implement experimental or innovative programs that are not consistent with these staffing levels.</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M. School boards shall, however, annually, on or before December 31, report to the public (</w:t>
      </w:r>
      <w:proofErr w:type="spellStart"/>
      <w:r w:rsidRPr="00CA1BC1">
        <w:rPr>
          <w:rFonts w:eastAsia="Times New Roman" w:cs="Times New Roman"/>
          <w:szCs w:val="24"/>
        </w:rPr>
        <w:t>i</w:t>
      </w:r>
      <w:proofErr w:type="spellEnd"/>
      <w:r w:rsidRPr="00CA1BC1">
        <w:rPr>
          <w:rFonts w:eastAsia="Times New Roman" w:cs="Times New Roman"/>
          <w:szCs w:val="24"/>
        </w:rPr>
        <w:t xml:space="preserve">) the actual pupil/teacher ratios in elementary school classrooms in the local school division by school for the current school year; and (ii) the actual pupil/teacher ratios in middle school and high school in the local school division by school for the current school year. Actual pupil/teacher ratios shall include only the teachers who teach the grade and class on a full-time basis and shall exclude resource personnel. School boards shall report pupil/teacher ratios that include resource teachers in the same annual report. Any classes funded through the voluntary kindergarten through third </w:t>
      </w:r>
      <w:proofErr w:type="gramStart"/>
      <w:r w:rsidRPr="00CA1BC1">
        <w:rPr>
          <w:rFonts w:eastAsia="Times New Roman" w:cs="Times New Roman"/>
          <w:szCs w:val="24"/>
        </w:rPr>
        <w:t>grade class size reduction program</w:t>
      </w:r>
      <w:proofErr w:type="gramEnd"/>
      <w:r w:rsidRPr="00CA1BC1">
        <w:rPr>
          <w:rFonts w:eastAsia="Times New Roman" w:cs="Times New Roman"/>
          <w:szCs w:val="24"/>
        </w:rPr>
        <w:t xml:space="preserve"> shall be identified as such classes. Any classes having waivers to exceed the requirements of this subsection shall also be identified. Schools shall be identified; however, the data shall be compiled in a manner to ensure the confidentiality of all teacher and pupil identities.</w:t>
      </w:r>
    </w:p>
    <w:p w:rsidR="00CA1BC1" w:rsidRPr="00CA1BC1" w:rsidRDefault="00CA1BC1" w:rsidP="00CA1BC1">
      <w:pPr>
        <w:spacing w:after="0" w:line="240" w:lineRule="auto"/>
        <w:textAlignment w:val="baseline"/>
        <w:rPr>
          <w:rFonts w:eastAsia="Times New Roman" w:cs="Times New Roman"/>
          <w:szCs w:val="24"/>
        </w:rPr>
      </w:pPr>
      <w:r w:rsidRPr="00CA1BC1">
        <w:rPr>
          <w:rFonts w:eastAsia="Times New Roman" w:cs="Times New Roman"/>
          <w:szCs w:val="24"/>
        </w:rPr>
        <w:t>N. Students enrolled in a public school on a less than full-time basis shall be counted in ADM in the relevant school division. Students who are either (</w:t>
      </w:r>
      <w:proofErr w:type="spellStart"/>
      <w:r w:rsidRPr="00CA1BC1">
        <w:rPr>
          <w:rFonts w:eastAsia="Times New Roman" w:cs="Times New Roman"/>
          <w:szCs w:val="24"/>
        </w:rPr>
        <w:t>i</w:t>
      </w:r>
      <w:proofErr w:type="spellEnd"/>
      <w:r w:rsidRPr="00CA1BC1">
        <w:rPr>
          <w:rFonts w:eastAsia="Times New Roman" w:cs="Times New Roman"/>
          <w:szCs w:val="24"/>
        </w:rPr>
        <w:t>) enrolled in a nonpublic school or (ii) receiving home instruction pursuant to § </w:t>
      </w:r>
      <w:hyperlink r:id="rId84" w:history="1">
        <w:r w:rsidRPr="00CA1BC1">
          <w:rPr>
            <w:rFonts w:eastAsia="Times New Roman" w:cs="Times New Roman"/>
            <w:szCs w:val="24"/>
            <w:bdr w:val="none" w:sz="0" w:space="0" w:color="auto" w:frame="1"/>
          </w:rPr>
          <w:t>22.1-254.1</w:t>
        </w:r>
      </w:hyperlink>
      <w:r w:rsidRPr="00CA1BC1">
        <w:rPr>
          <w:rFonts w:eastAsia="Times New Roman" w:cs="Times New Roman"/>
          <w:szCs w:val="24"/>
        </w:rPr>
        <w:t>, and who are enrolled in public school on a less than full-time basis in any mathematics, science, English, history, social science, career and technical education, fine arts, foreign language, or health education or physical education course shall be counted in the ADM in the relevant school division on a pro rata basis as provided in the appropriation act. Each such course enrollment by such students shall be counted as 0.25 in the ADM; however, no such nonpublic or home school student shall be counted as more than one-half a student for purposes of such pro rata calculation. Such calculation shall not include enrollments of such students in any other public school courses.</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O. Each local school board shall provide those support services that are necessary for the efficient and cost-effective operation and maintenance of its public schools.</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For the purposes of this title, unless the context otherwise requires, "support services positions" shall include the following:</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1. Executive policy and leadership positions, including school board members, superintendents and assistant superintendents;</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2. Fiscal and human resources positions, including fiscal and audit operations;</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lastRenderedPageBreak/>
        <w:t>3. Student support positions, including (</w:t>
      </w:r>
      <w:proofErr w:type="spellStart"/>
      <w:r w:rsidRPr="00CA1BC1">
        <w:rPr>
          <w:rFonts w:eastAsia="Times New Roman" w:cs="Times New Roman"/>
          <w:szCs w:val="24"/>
        </w:rPr>
        <w:t>i</w:t>
      </w:r>
      <w:proofErr w:type="spellEnd"/>
      <w:r w:rsidRPr="00CA1BC1">
        <w:rPr>
          <w:rFonts w:eastAsia="Times New Roman" w:cs="Times New Roman"/>
          <w:szCs w:val="24"/>
        </w:rPr>
        <w:t>) social workers and social work administrative positions; (ii) school counselor administrative positions not included in subdivision H 4; (iii) homebound administrative positions supporting instruction; (iv) attendance support positions related to truancy and dropout prevention; and (v) health and behavioral positions, including licensed behavior analysts, licensed assistant behavior analysts, school nurses, and school psychologists;</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4. Instructional personnel support, including professional development positions and library and media positions not included in subdivision H 3</w:t>
      </w:r>
      <w:proofErr w:type="gramStart"/>
      <w:r w:rsidRPr="00CA1BC1">
        <w:rPr>
          <w:rFonts w:eastAsia="Times New Roman" w:cs="Times New Roman"/>
          <w:szCs w:val="24"/>
        </w:rPr>
        <w:t>;</w:t>
      </w:r>
      <w:proofErr w:type="gramEnd"/>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5. Technology professional positions not included in subsection J;</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6. Operation and maintenance positions, including facilities; pupil transportation positions; operation and maintenance professional and service positions; and security service, trade, and laborer positions;</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7. Technical and clerical positions for fiscal and human resources, student support, instructional personnel support, operation and maintenance, administration, and technology; and</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8. School-based clerical personnel in elementary schools; part-time to 299 students, one full-time at 300 students; clerical personnel in middle schools; one full-time and one additional full-time for each 600 students beyond 200 students and one full-time for the library at 750 students; clerical personnel in high schools; one full-time and one additional full-time for each 600 students beyond 200 students and one full-time for the library at 750 students. Local school divisions that employ a sufficient number of school-based clerical personnel to meet this staffing requirement may assign the clerical personnel to schools within the division according to the area of greatest need, regardless of whether such schools are elementary, middle, or secondary.</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Pursuant to the appropriation act, support services shall be funded from basic school aid.</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School divisions may use the state and local funds for support services to provide additional instructional services.</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P. Notwithstanding the provisions of this section, when determining the assignment of instructional and other licensed personnel in subsections C through J, a local school board shall not be required to include full-time students of approved virtual school programs.</w:t>
      </w:r>
    </w:p>
    <w:p w:rsidR="00CA1BC1" w:rsidRPr="00CA1BC1" w:rsidRDefault="00CA1BC1" w:rsidP="00CA1BC1">
      <w:pPr>
        <w:spacing w:after="0" w:line="240" w:lineRule="auto"/>
        <w:textAlignment w:val="baseline"/>
        <w:rPr>
          <w:rFonts w:eastAsia="Times New Roman" w:cs="Times New Roman"/>
          <w:szCs w:val="24"/>
        </w:rPr>
      </w:pPr>
      <w:r w:rsidRPr="00CA1BC1">
        <w:rPr>
          <w:rFonts w:eastAsia="Times New Roman" w:cs="Times New Roman"/>
          <w:szCs w:val="24"/>
        </w:rPr>
        <w:t>1988, cc. 645, 682; 1991, c. 480; 1997, c. </w:t>
      </w:r>
      <w:hyperlink r:id="rId85" w:history="1">
        <w:r w:rsidRPr="00CA1BC1">
          <w:rPr>
            <w:rFonts w:eastAsia="Times New Roman" w:cs="Times New Roman"/>
            <w:szCs w:val="24"/>
            <w:bdr w:val="none" w:sz="0" w:space="0" w:color="auto" w:frame="1"/>
          </w:rPr>
          <w:t>828</w:t>
        </w:r>
      </w:hyperlink>
      <w:r w:rsidRPr="00CA1BC1">
        <w:rPr>
          <w:rFonts w:eastAsia="Times New Roman" w:cs="Times New Roman"/>
          <w:szCs w:val="24"/>
        </w:rPr>
        <w:t>; 2004, cc. </w:t>
      </w:r>
      <w:hyperlink r:id="rId86" w:history="1">
        <w:r w:rsidRPr="00CA1BC1">
          <w:rPr>
            <w:rFonts w:eastAsia="Times New Roman" w:cs="Times New Roman"/>
            <w:szCs w:val="24"/>
            <w:bdr w:val="none" w:sz="0" w:space="0" w:color="auto" w:frame="1"/>
          </w:rPr>
          <w:t>939</w:t>
        </w:r>
      </w:hyperlink>
      <w:r w:rsidRPr="00CA1BC1">
        <w:rPr>
          <w:rFonts w:eastAsia="Times New Roman" w:cs="Times New Roman"/>
          <w:szCs w:val="24"/>
        </w:rPr>
        <w:t>, </w:t>
      </w:r>
      <w:hyperlink r:id="rId87" w:history="1">
        <w:r w:rsidRPr="00CA1BC1">
          <w:rPr>
            <w:rFonts w:eastAsia="Times New Roman" w:cs="Times New Roman"/>
            <w:szCs w:val="24"/>
            <w:bdr w:val="none" w:sz="0" w:space="0" w:color="auto" w:frame="1"/>
          </w:rPr>
          <w:t>955</w:t>
        </w:r>
      </w:hyperlink>
      <w:r w:rsidRPr="00CA1BC1">
        <w:rPr>
          <w:rFonts w:eastAsia="Times New Roman" w:cs="Times New Roman"/>
          <w:szCs w:val="24"/>
        </w:rPr>
        <w:t>; 2005, cc. </w:t>
      </w:r>
      <w:hyperlink r:id="rId88" w:history="1">
        <w:r w:rsidRPr="00CA1BC1">
          <w:rPr>
            <w:rFonts w:eastAsia="Times New Roman" w:cs="Times New Roman"/>
            <w:szCs w:val="24"/>
            <w:bdr w:val="none" w:sz="0" w:space="0" w:color="auto" w:frame="1"/>
          </w:rPr>
          <w:t>331</w:t>
        </w:r>
      </w:hyperlink>
      <w:r w:rsidRPr="00CA1BC1">
        <w:rPr>
          <w:rFonts w:eastAsia="Times New Roman" w:cs="Times New Roman"/>
          <w:szCs w:val="24"/>
        </w:rPr>
        <w:t>, </w:t>
      </w:r>
      <w:hyperlink r:id="rId89" w:history="1">
        <w:r w:rsidRPr="00CA1BC1">
          <w:rPr>
            <w:rFonts w:eastAsia="Times New Roman" w:cs="Times New Roman"/>
            <w:szCs w:val="24"/>
            <w:bdr w:val="none" w:sz="0" w:space="0" w:color="auto" w:frame="1"/>
          </w:rPr>
          <w:t>450</w:t>
        </w:r>
      </w:hyperlink>
      <w:r w:rsidRPr="00CA1BC1">
        <w:rPr>
          <w:rFonts w:eastAsia="Times New Roman" w:cs="Times New Roman"/>
          <w:szCs w:val="24"/>
        </w:rPr>
        <w:t>; 2010, cc. </w:t>
      </w:r>
      <w:hyperlink r:id="rId90" w:history="1">
        <w:r w:rsidRPr="00CA1BC1">
          <w:rPr>
            <w:rFonts w:eastAsia="Times New Roman" w:cs="Times New Roman"/>
            <w:szCs w:val="24"/>
            <w:bdr w:val="none" w:sz="0" w:space="0" w:color="auto" w:frame="1"/>
          </w:rPr>
          <w:t>537</w:t>
        </w:r>
      </w:hyperlink>
      <w:r w:rsidRPr="00CA1BC1">
        <w:rPr>
          <w:rFonts w:eastAsia="Times New Roman" w:cs="Times New Roman"/>
          <w:szCs w:val="24"/>
        </w:rPr>
        <w:t>, </w:t>
      </w:r>
      <w:hyperlink r:id="rId91" w:history="1">
        <w:r w:rsidRPr="00CA1BC1">
          <w:rPr>
            <w:rFonts w:eastAsia="Times New Roman" w:cs="Times New Roman"/>
            <w:szCs w:val="24"/>
            <w:bdr w:val="none" w:sz="0" w:space="0" w:color="auto" w:frame="1"/>
          </w:rPr>
          <w:t>817</w:t>
        </w:r>
      </w:hyperlink>
      <w:r w:rsidRPr="00CA1BC1">
        <w:rPr>
          <w:rFonts w:eastAsia="Times New Roman" w:cs="Times New Roman"/>
          <w:szCs w:val="24"/>
        </w:rPr>
        <w:t>; 2011, cc. </w:t>
      </w:r>
      <w:hyperlink r:id="rId92" w:history="1">
        <w:r w:rsidRPr="00CA1BC1">
          <w:rPr>
            <w:rFonts w:eastAsia="Times New Roman" w:cs="Times New Roman"/>
            <w:szCs w:val="24"/>
            <w:bdr w:val="none" w:sz="0" w:space="0" w:color="auto" w:frame="1"/>
          </w:rPr>
          <w:t>55</w:t>
        </w:r>
      </w:hyperlink>
      <w:r w:rsidRPr="00CA1BC1">
        <w:rPr>
          <w:rFonts w:eastAsia="Times New Roman" w:cs="Times New Roman"/>
          <w:szCs w:val="24"/>
        </w:rPr>
        <w:t>, </w:t>
      </w:r>
      <w:hyperlink r:id="rId93" w:history="1">
        <w:r w:rsidRPr="00CA1BC1">
          <w:rPr>
            <w:rFonts w:eastAsia="Times New Roman" w:cs="Times New Roman"/>
            <w:szCs w:val="24"/>
            <w:bdr w:val="none" w:sz="0" w:space="0" w:color="auto" w:frame="1"/>
          </w:rPr>
          <w:t>74</w:t>
        </w:r>
      </w:hyperlink>
      <w:r w:rsidRPr="00CA1BC1">
        <w:rPr>
          <w:rFonts w:eastAsia="Times New Roman" w:cs="Times New Roman"/>
          <w:szCs w:val="24"/>
        </w:rPr>
        <w:t>; 2012, cc. </w:t>
      </w:r>
      <w:hyperlink r:id="rId94" w:history="1">
        <w:r w:rsidRPr="00CA1BC1">
          <w:rPr>
            <w:rFonts w:eastAsia="Times New Roman" w:cs="Times New Roman"/>
            <w:szCs w:val="24"/>
            <w:bdr w:val="none" w:sz="0" w:space="0" w:color="auto" w:frame="1"/>
          </w:rPr>
          <w:t>476</w:t>
        </w:r>
      </w:hyperlink>
      <w:r w:rsidRPr="00CA1BC1">
        <w:rPr>
          <w:rFonts w:eastAsia="Times New Roman" w:cs="Times New Roman"/>
          <w:szCs w:val="24"/>
        </w:rPr>
        <w:t>, </w:t>
      </w:r>
      <w:hyperlink r:id="rId95" w:history="1">
        <w:r w:rsidRPr="00CA1BC1">
          <w:rPr>
            <w:rFonts w:eastAsia="Times New Roman" w:cs="Times New Roman"/>
            <w:szCs w:val="24"/>
            <w:bdr w:val="none" w:sz="0" w:space="0" w:color="auto" w:frame="1"/>
          </w:rPr>
          <w:t>507</w:t>
        </w:r>
      </w:hyperlink>
      <w:r w:rsidRPr="00CA1BC1">
        <w:rPr>
          <w:rFonts w:eastAsia="Times New Roman" w:cs="Times New Roman"/>
          <w:szCs w:val="24"/>
        </w:rPr>
        <w:t>; 2013, cc. </w:t>
      </w:r>
      <w:hyperlink r:id="rId96" w:history="1">
        <w:r w:rsidRPr="00CA1BC1">
          <w:rPr>
            <w:rFonts w:eastAsia="Times New Roman" w:cs="Times New Roman"/>
            <w:szCs w:val="24"/>
            <w:bdr w:val="none" w:sz="0" w:space="0" w:color="auto" w:frame="1"/>
          </w:rPr>
          <w:t>123</w:t>
        </w:r>
      </w:hyperlink>
      <w:r w:rsidRPr="00CA1BC1">
        <w:rPr>
          <w:rFonts w:eastAsia="Times New Roman" w:cs="Times New Roman"/>
          <w:szCs w:val="24"/>
        </w:rPr>
        <w:t>, </w:t>
      </w:r>
      <w:hyperlink r:id="rId97" w:history="1">
        <w:r w:rsidRPr="00CA1BC1">
          <w:rPr>
            <w:rFonts w:eastAsia="Times New Roman" w:cs="Times New Roman"/>
            <w:szCs w:val="24"/>
            <w:bdr w:val="none" w:sz="0" w:space="0" w:color="auto" w:frame="1"/>
          </w:rPr>
          <w:t>157</w:t>
        </w:r>
      </w:hyperlink>
      <w:r w:rsidRPr="00CA1BC1">
        <w:rPr>
          <w:rFonts w:eastAsia="Times New Roman" w:cs="Times New Roman"/>
          <w:szCs w:val="24"/>
        </w:rPr>
        <w:t>, </w:t>
      </w:r>
      <w:hyperlink r:id="rId98" w:history="1">
        <w:r w:rsidRPr="00CA1BC1">
          <w:rPr>
            <w:rFonts w:eastAsia="Times New Roman" w:cs="Times New Roman"/>
            <w:szCs w:val="24"/>
            <w:bdr w:val="none" w:sz="0" w:space="0" w:color="auto" w:frame="1"/>
          </w:rPr>
          <w:t>158</w:t>
        </w:r>
      </w:hyperlink>
      <w:r w:rsidRPr="00CA1BC1">
        <w:rPr>
          <w:rFonts w:eastAsia="Times New Roman" w:cs="Times New Roman"/>
          <w:szCs w:val="24"/>
        </w:rPr>
        <w:t>, </w:t>
      </w:r>
      <w:hyperlink r:id="rId99" w:history="1">
        <w:r w:rsidRPr="00CA1BC1">
          <w:rPr>
            <w:rFonts w:eastAsia="Times New Roman" w:cs="Times New Roman"/>
            <w:szCs w:val="24"/>
            <w:bdr w:val="none" w:sz="0" w:space="0" w:color="auto" w:frame="1"/>
          </w:rPr>
          <w:t>224</w:t>
        </w:r>
      </w:hyperlink>
      <w:r w:rsidRPr="00CA1BC1">
        <w:rPr>
          <w:rFonts w:eastAsia="Times New Roman" w:cs="Times New Roman"/>
          <w:szCs w:val="24"/>
        </w:rPr>
        <w:t>; 2016, c. </w:t>
      </w:r>
      <w:hyperlink r:id="rId100" w:history="1">
        <w:r w:rsidRPr="00CA1BC1">
          <w:rPr>
            <w:rFonts w:eastAsia="Times New Roman" w:cs="Times New Roman"/>
            <w:szCs w:val="24"/>
            <w:bdr w:val="none" w:sz="0" w:space="0" w:color="auto" w:frame="1"/>
          </w:rPr>
          <w:t>646</w:t>
        </w:r>
      </w:hyperlink>
      <w:r w:rsidRPr="00CA1BC1">
        <w:rPr>
          <w:rFonts w:eastAsia="Times New Roman" w:cs="Times New Roman"/>
          <w:szCs w:val="24"/>
        </w:rPr>
        <w:t>; 2017, cc. </w:t>
      </w:r>
      <w:hyperlink r:id="rId101" w:history="1">
        <w:r w:rsidRPr="00CA1BC1">
          <w:rPr>
            <w:rFonts w:eastAsia="Times New Roman" w:cs="Times New Roman"/>
            <w:szCs w:val="24"/>
            <w:bdr w:val="none" w:sz="0" w:space="0" w:color="auto" w:frame="1"/>
          </w:rPr>
          <w:t>321</w:t>
        </w:r>
      </w:hyperlink>
      <w:r w:rsidRPr="00CA1BC1">
        <w:rPr>
          <w:rFonts w:eastAsia="Times New Roman" w:cs="Times New Roman"/>
          <w:szCs w:val="24"/>
        </w:rPr>
        <w:t>, </w:t>
      </w:r>
      <w:hyperlink r:id="rId102" w:history="1">
        <w:r w:rsidRPr="00CA1BC1">
          <w:rPr>
            <w:rFonts w:eastAsia="Times New Roman" w:cs="Times New Roman"/>
            <w:szCs w:val="24"/>
            <w:bdr w:val="none" w:sz="0" w:space="0" w:color="auto" w:frame="1"/>
          </w:rPr>
          <w:t>626</w:t>
        </w:r>
      </w:hyperlink>
      <w:r w:rsidRPr="00CA1BC1">
        <w:rPr>
          <w:rFonts w:eastAsia="Times New Roman" w:cs="Times New Roman"/>
          <w:szCs w:val="24"/>
        </w:rPr>
        <w:t>, </w:t>
      </w:r>
      <w:hyperlink r:id="rId103" w:history="1">
        <w:r w:rsidRPr="00CA1BC1">
          <w:rPr>
            <w:rFonts w:eastAsia="Times New Roman" w:cs="Times New Roman"/>
            <w:szCs w:val="24"/>
            <w:bdr w:val="none" w:sz="0" w:space="0" w:color="auto" w:frame="1"/>
          </w:rPr>
          <w:t>629</w:t>
        </w:r>
      </w:hyperlink>
      <w:r w:rsidRPr="00CA1BC1">
        <w:rPr>
          <w:rFonts w:eastAsia="Times New Roman" w:cs="Times New Roman"/>
          <w:szCs w:val="24"/>
        </w:rPr>
        <w:t>; 2018, c. </w:t>
      </w:r>
      <w:hyperlink r:id="rId104" w:history="1">
        <w:r w:rsidRPr="00CA1BC1">
          <w:rPr>
            <w:rFonts w:eastAsia="Times New Roman" w:cs="Times New Roman"/>
            <w:szCs w:val="24"/>
            <w:bdr w:val="none" w:sz="0" w:space="0" w:color="auto" w:frame="1"/>
          </w:rPr>
          <w:t>484</w:t>
        </w:r>
      </w:hyperlink>
      <w:r w:rsidRPr="00CA1BC1">
        <w:rPr>
          <w:rFonts w:eastAsia="Times New Roman" w:cs="Times New Roman"/>
          <w:szCs w:val="24"/>
        </w:rPr>
        <w:t>; 2019, cc. </w:t>
      </w:r>
      <w:hyperlink r:id="rId105" w:history="1">
        <w:r w:rsidRPr="00CA1BC1">
          <w:rPr>
            <w:rFonts w:eastAsia="Times New Roman" w:cs="Times New Roman"/>
            <w:szCs w:val="24"/>
            <w:bdr w:val="none" w:sz="0" w:space="0" w:color="auto" w:frame="1"/>
          </w:rPr>
          <w:t>139</w:t>
        </w:r>
      </w:hyperlink>
      <w:r w:rsidRPr="00CA1BC1">
        <w:rPr>
          <w:rFonts w:eastAsia="Times New Roman" w:cs="Times New Roman"/>
          <w:szCs w:val="24"/>
        </w:rPr>
        <w:t>, </w:t>
      </w:r>
      <w:hyperlink r:id="rId106" w:history="1">
        <w:r w:rsidRPr="00CA1BC1">
          <w:rPr>
            <w:rFonts w:eastAsia="Times New Roman" w:cs="Times New Roman"/>
            <w:szCs w:val="24"/>
            <w:bdr w:val="none" w:sz="0" w:space="0" w:color="auto" w:frame="1"/>
          </w:rPr>
          <w:t>796</w:t>
        </w:r>
      </w:hyperlink>
      <w:r w:rsidRPr="00CA1BC1">
        <w:rPr>
          <w:rFonts w:eastAsia="Times New Roman" w:cs="Times New Roman"/>
          <w:szCs w:val="24"/>
        </w:rPr>
        <w:t>; 2020, cc. </w:t>
      </w:r>
      <w:hyperlink r:id="rId107" w:history="1">
        <w:r w:rsidRPr="00CA1BC1">
          <w:rPr>
            <w:rFonts w:eastAsia="Times New Roman" w:cs="Times New Roman"/>
            <w:szCs w:val="24"/>
            <w:bdr w:val="none" w:sz="0" w:space="0" w:color="auto" w:frame="1"/>
          </w:rPr>
          <w:t>582</w:t>
        </w:r>
      </w:hyperlink>
      <w:r w:rsidRPr="00CA1BC1">
        <w:rPr>
          <w:rFonts w:eastAsia="Times New Roman" w:cs="Times New Roman"/>
          <w:szCs w:val="24"/>
        </w:rPr>
        <w:t>, </w:t>
      </w:r>
      <w:hyperlink r:id="rId108" w:history="1">
        <w:r w:rsidRPr="00CA1BC1">
          <w:rPr>
            <w:rFonts w:eastAsia="Times New Roman" w:cs="Times New Roman"/>
            <w:szCs w:val="24"/>
            <w:bdr w:val="none" w:sz="0" w:space="0" w:color="auto" w:frame="1"/>
          </w:rPr>
          <w:t>635</w:t>
        </w:r>
      </w:hyperlink>
      <w:r w:rsidRPr="00CA1BC1">
        <w:rPr>
          <w:rFonts w:eastAsia="Times New Roman" w:cs="Times New Roman"/>
          <w:szCs w:val="24"/>
        </w:rPr>
        <w:t>, </w:t>
      </w:r>
      <w:hyperlink r:id="rId109" w:history="1">
        <w:r w:rsidRPr="00CA1BC1">
          <w:rPr>
            <w:rFonts w:eastAsia="Times New Roman" w:cs="Times New Roman"/>
            <w:szCs w:val="24"/>
            <w:bdr w:val="none" w:sz="0" w:space="0" w:color="auto" w:frame="1"/>
          </w:rPr>
          <w:t>952</w:t>
        </w:r>
      </w:hyperlink>
      <w:r w:rsidRPr="00CA1BC1">
        <w:rPr>
          <w:rFonts w:eastAsia="Times New Roman" w:cs="Times New Roman"/>
          <w:szCs w:val="24"/>
        </w:rPr>
        <w:t>, </w:t>
      </w:r>
      <w:hyperlink r:id="rId110" w:history="1">
        <w:r w:rsidRPr="00CA1BC1">
          <w:rPr>
            <w:rFonts w:eastAsia="Times New Roman" w:cs="Times New Roman"/>
            <w:szCs w:val="24"/>
            <w:bdr w:val="none" w:sz="0" w:space="0" w:color="auto" w:frame="1"/>
          </w:rPr>
          <w:t>953</w:t>
        </w:r>
      </w:hyperlink>
      <w:r w:rsidRPr="00CA1BC1">
        <w:rPr>
          <w:rFonts w:eastAsia="Times New Roman" w:cs="Times New Roman"/>
          <w:szCs w:val="24"/>
        </w:rPr>
        <w:t>, </w:t>
      </w:r>
      <w:hyperlink r:id="rId111" w:history="1">
        <w:r w:rsidRPr="00CA1BC1">
          <w:rPr>
            <w:rFonts w:eastAsia="Times New Roman" w:cs="Times New Roman"/>
            <w:szCs w:val="24"/>
            <w:bdr w:val="none" w:sz="0" w:space="0" w:color="auto" w:frame="1"/>
          </w:rPr>
          <w:t>1034</w:t>
        </w:r>
      </w:hyperlink>
      <w:r w:rsidRPr="00CA1BC1">
        <w:rPr>
          <w:rFonts w:eastAsia="Times New Roman" w:cs="Times New Roman"/>
          <w:szCs w:val="24"/>
        </w:rPr>
        <w:t>, </w:t>
      </w:r>
      <w:hyperlink r:id="rId112" w:history="1">
        <w:r w:rsidRPr="00CA1BC1">
          <w:rPr>
            <w:rFonts w:eastAsia="Times New Roman" w:cs="Times New Roman"/>
            <w:szCs w:val="24"/>
            <w:bdr w:val="none" w:sz="0" w:space="0" w:color="auto" w:frame="1"/>
          </w:rPr>
          <w:t>1035</w:t>
        </w:r>
      </w:hyperlink>
      <w:r w:rsidRPr="00CA1BC1">
        <w:rPr>
          <w:rFonts w:eastAsia="Times New Roman" w:cs="Times New Roman"/>
          <w:szCs w:val="24"/>
        </w:rPr>
        <w:t>.</w:t>
      </w:r>
    </w:p>
    <w:p w:rsidR="00CA1BC1" w:rsidRPr="00F3758E" w:rsidRDefault="00CA1BC1" w:rsidP="00CA1BC1">
      <w:pPr>
        <w:pStyle w:val="Heading2"/>
        <w:rPr>
          <w:rFonts w:cs="Times New Roman"/>
          <w:color w:val="auto"/>
          <w:szCs w:val="24"/>
        </w:rPr>
      </w:pPr>
      <w:r w:rsidRPr="00F3758E">
        <w:rPr>
          <w:color w:val="auto"/>
        </w:rPr>
        <w:t xml:space="preserve">§ 22.1-253.13:3. Standard </w:t>
      </w:r>
      <w:proofErr w:type="gramStart"/>
      <w:r w:rsidRPr="00F3758E">
        <w:rPr>
          <w:color w:val="auto"/>
        </w:rPr>
        <w:t>3</w:t>
      </w:r>
      <w:proofErr w:type="gramEnd"/>
      <w:r w:rsidRPr="00F3758E">
        <w:rPr>
          <w:color w:val="auto"/>
        </w:rPr>
        <w:t>. Accreditation, other standards, assessments, and releases from state regulations.</w:t>
      </w:r>
    </w:p>
    <w:p w:rsidR="00CA1BC1" w:rsidRPr="00CA1BC1" w:rsidRDefault="00CA1BC1" w:rsidP="00CA1BC1">
      <w:pPr>
        <w:spacing w:after="0" w:line="240" w:lineRule="auto"/>
        <w:textAlignment w:val="baseline"/>
        <w:rPr>
          <w:rFonts w:eastAsia="Times New Roman" w:cs="Times New Roman"/>
          <w:szCs w:val="24"/>
        </w:rPr>
      </w:pPr>
      <w:r w:rsidRPr="00CA1BC1">
        <w:rPr>
          <w:rFonts w:eastAsia="Times New Roman" w:cs="Times New Roman"/>
          <w:szCs w:val="24"/>
        </w:rPr>
        <w:t>A. The Board of Education shall promulgate regulations establishing standards for accreditation pursuant to the Administrative Process Act (§ </w:t>
      </w:r>
      <w:hyperlink r:id="rId113" w:history="1">
        <w:r w:rsidRPr="00CA1BC1">
          <w:rPr>
            <w:rFonts w:eastAsia="Times New Roman" w:cs="Times New Roman"/>
            <w:szCs w:val="24"/>
            <w:bdr w:val="none" w:sz="0" w:space="0" w:color="auto" w:frame="1"/>
          </w:rPr>
          <w:t>2.2-4000</w:t>
        </w:r>
      </w:hyperlink>
      <w:r w:rsidRPr="00CA1BC1">
        <w:rPr>
          <w:rFonts w:eastAsia="Times New Roman" w:cs="Times New Roman"/>
          <w:szCs w:val="24"/>
        </w:rPr>
        <w:t xml:space="preserve"> et seq.), which shall include student outcome measures, requirements and guidelines for instructional programs and for the integration of educational technology into such instructional programs, administrative and instructional staffing levels and positions, including staff positions for supporting educational </w:t>
      </w:r>
      <w:r w:rsidRPr="00CA1BC1">
        <w:rPr>
          <w:rFonts w:eastAsia="Times New Roman" w:cs="Times New Roman"/>
          <w:szCs w:val="24"/>
        </w:rPr>
        <w:lastRenderedPageBreak/>
        <w:t>technology, student services, auxiliary education programs such as library and media services, requirements for graduation from high school, community relations, and the philosophy, goals, and objectives of public education in Virginia.</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 xml:space="preserve">The Board of Education shall promulgate regulations establishing standards for accreditation of public virtual schools under the authority of the local school board that enroll </w:t>
      </w:r>
      <w:proofErr w:type="gramStart"/>
      <w:r w:rsidRPr="00CA1BC1">
        <w:rPr>
          <w:rFonts w:eastAsia="Times New Roman" w:cs="Times New Roman"/>
          <w:szCs w:val="24"/>
        </w:rPr>
        <w:t>students</w:t>
      </w:r>
      <w:proofErr w:type="gramEnd"/>
      <w:r w:rsidRPr="00CA1BC1">
        <w:rPr>
          <w:rFonts w:eastAsia="Times New Roman" w:cs="Times New Roman"/>
          <w:szCs w:val="24"/>
        </w:rPr>
        <w:t xml:space="preserve"> full time.</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The Board's regulations establishing standards for accreditation shall ensure that the accreditation process is transparent and based on objective measurements and that any appeal of the accreditation status of a school is heard and decided by the Board.</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 xml:space="preserve">The Board shall review annually the accreditation status of all schools in the Commonwealth. The Board shall review the accreditation status of a school once every three years if the school has been fully accredited for three consecutive years. Upon such triennial review, the Board shall review the accreditation status of the school for each individual year within that triennial review period. If the Board finds that the school would have been accredited every year of that triennial review </w:t>
      </w:r>
      <w:proofErr w:type="gramStart"/>
      <w:r w:rsidRPr="00CA1BC1">
        <w:rPr>
          <w:rFonts w:eastAsia="Times New Roman" w:cs="Times New Roman"/>
          <w:szCs w:val="24"/>
        </w:rPr>
        <w:t>period</w:t>
      </w:r>
      <w:proofErr w:type="gramEnd"/>
      <w:r w:rsidRPr="00CA1BC1">
        <w:rPr>
          <w:rFonts w:eastAsia="Times New Roman" w:cs="Times New Roman"/>
          <w:szCs w:val="24"/>
        </w:rPr>
        <w:t xml:space="preserve"> the Board shall accredit the school for another three years. The Board may review the accreditation status of any other school once every two years or once every three years, provided that any school that receives a multiyear accreditation status other than full accreditation shall be covered by a Board-approved multiyear corrective action plan for the duration of the period of accreditation. Such multiyear corrective action plan shall include annual written progress updates to the Board. A multiyear accreditation status shall not relieve any school or division of annual reporting requirements.</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Each local school board shall maintain schools that are fully accredited pursuant to the standards for accreditation as prescribed by the Board of Education. Each local school board shall report the accreditation status of all schools in the local school division annually in public session.</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The Board shall establish a review process to assist any school that does not meet the standards established by the Board. The relevant school board shall report the results of such review and any annual progress reports in public session and shall implement any actions identified through such review and utilize them for improvement planning.</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The Board shall establish a corrective action plan process for any school that does not meet the standards established by the Board. Such process shall require (</w:t>
      </w:r>
      <w:proofErr w:type="spellStart"/>
      <w:r w:rsidRPr="00CA1BC1">
        <w:rPr>
          <w:rFonts w:eastAsia="Times New Roman" w:cs="Times New Roman"/>
          <w:szCs w:val="24"/>
        </w:rPr>
        <w:t>i</w:t>
      </w:r>
      <w:proofErr w:type="spellEnd"/>
      <w:r w:rsidRPr="00CA1BC1">
        <w:rPr>
          <w:rFonts w:eastAsia="Times New Roman" w:cs="Times New Roman"/>
          <w:szCs w:val="24"/>
        </w:rPr>
        <w:t>) each school board to submit a corrective action plan for any school in the local school division that does not meet the standards established by the Board and (ii) any school board that fails to demonstrate progress in developing or implementing any such corrective action plan to enter into a memorandum of understanding with the Board.</w:t>
      </w:r>
    </w:p>
    <w:p w:rsidR="00CA1BC1" w:rsidRPr="00CA1BC1" w:rsidRDefault="00CA1BC1" w:rsidP="00CA1BC1">
      <w:pPr>
        <w:spacing w:after="0" w:line="240" w:lineRule="auto"/>
        <w:textAlignment w:val="baseline"/>
        <w:rPr>
          <w:rFonts w:eastAsia="Times New Roman" w:cs="Times New Roman"/>
          <w:szCs w:val="24"/>
        </w:rPr>
      </w:pPr>
      <w:r w:rsidRPr="00CA1BC1">
        <w:rPr>
          <w:rFonts w:eastAsia="Times New Roman" w:cs="Times New Roman"/>
          <w:szCs w:val="24"/>
        </w:rPr>
        <w:t xml:space="preserve">When the Board determines through its review process that the failure of schools within a division to meet the standards established by the Board is related to division-level failure to implement the Standards of Quality or other division-level action or inaction, the Board may require a division-level academic review. After the conduct of such review and within the time specified by the Board of Education, each school board shall enter into a memorandum of understanding with the Board and shall subsequently submit to the Board for approval a corrective action plan, consistent with criteria established by the Board setting forth specific actions and a schedule designed to ensure that schools within its school division meet the standards established by the Board. If the Board determines that the proposed corrective action </w:t>
      </w:r>
      <w:r w:rsidRPr="00CA1BC1">
        <w:rPr>
          <w:rFonts w:eastAsia="Times New Roman" w:cs="Times New Roman"/>
          <w:szCs w:val="24"/>
        </w:rPr>
        <w:lastRenderedPageBreak/>
        <w:t>plan is not sufficient to enable all schools within the division to meet the standards established by the Board, the Board may return the plan to the local school board with directions to submit an amended plan pursuant to Board guidance. Such corrective action plans shall be part of the relevant school division's comprehensive plan pursuant to § </w:t>
      </w:r>
      <w:hyperlink r:id="rId114" w:history="1">
        <w:r w:rsidRPr="00CA1BC1">
          <w:rPr>
            <w:rFonts w:eastAsia="Times New Roman" w:cs="Times New Roman"/>
            <w:szCs w:val="24"/>
            <w:bdr w:val="none" w:sz="0" w:space="0" w:color="auto" w:frame="1"/>
          </w:rPr>
          <w:t>22.1-253.13:6</w:t>
        </w:r>
      </w:hyperlink>
      <w:r w:rsidRPr="00CA1BC1">
        <w:rPr>
          <w:rFonts w:eastAsia="Times New Roman" w:cs="Times New Roman"/>
          <w:szCs w:val="24"/>
        </w:rPr>
        <w:t>.</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 xml:space="preserve">B. </w:t>
      </w:r>
      <w:proofErr w:type="gramStart"/>
      <w:r w:rsidRPr="00CA1BC1">
        <w:rPr>
          <w:rFonts w:eastAsia="Times New Roman" w:cs="Times New Roman"/>
          <w:szCs w:val="24"/>
        </w:rPr>
        <w:t>The</w:t>
      </w:r>
      <w:proofErr w:type="gramEnd"/>
      <w:r w:rsidRPr="00CA1BC1">
        <w:rPr>
          <w:rFonts w:eastAsia="Times New Roman" w:cs="Times New Roman"/>
          <w:szCs w:val="24"/>
        </w:rPr>
        <w:t xml:space="preserve"> Superintendent of Public Instruction shall develop and the Board of Education shall approve criteria for determining and recognizing educational performance in the Commonwealth's public school divisions and schools. Such criteria, when approved, shall become an integral part of the accreditation process and shall include student outcome measurements. The Superintendent of Public Instruction shall annually report to the Board on the accreditation status of all school divisions and schools. Such report shall include an analysis of the strengths and weaknesses of public education programs in the various school divisions in Virginia and recommendations to the General Assembly for further enhancing student learning uniformly across the Commonwealth. In recognizing educational performance in the school divisions, the Board shall include consideration of special school division accomplishments, such as numbers of dual enrollments and students in Advanced Placement and International Baccalaureate courses, and participation in academic year Governor's Schools.</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The Superintendent of Public Instruction shall assist local school boards in the implementation of action plans for increasing educational performance in those school divisions and schools that are identified as not meeting the approved criteria. The Superintendent of Public Instruction shall monitor the implementation of and report to the Board of Education on the effectiveness of the corrective actions taken to improve the educational performance in such school divisions and schools.</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 xml:space="preserve">C. With such funds as are available for this purpose, the Board of Education shall prescribe assessment methods to determine the level of achievement of the Standards of Learning objectives by all students. Such assessments shall evaluate knowledge, application of knowledge, critical thinking, and skills related to the Standards of Learning being assessed. The Board </w:t>
      </w:r>
      <w:proofErr w:type="gramStart"/>
      <w:r w:rsidRPr="00CA1BC1">
        <w:rPr>
          <w:rFonts w:eastAsia="Times New Roman" w:cs="Times New Roman"/>
          <w:szCs w:val="24"/>
        </w:rPr>
        <w:t>shall, with the assistance of independent testing experts, conduct</w:t>
      </w:r>
      <w:proofErr w:type="gramEnd"/>
      <w:r w:rsidRPr="00CA1BC1">
        <w:rPr>
          <w:rFonts w:eastAsia="Times New Roman" w:cs="Times New Roman"/>
          <w:szCs w:val="24"/>
        </w:rPr>
        <w:t xml:space="preserve"> a regular analysis and validation process for these assessments. The Department of Education shall make available to school divisions Standards of Learning assessments typically administered by the middle and high schools by December 1 of the school year in which such assessments are to </w:t>
      </w:r>
      <w:proofErr w:type="gramStart"/>
      <w:r w:rsidRPr="00CA1BC1">
        <w:rPr>
          <w:rFonts w:eastAsia="Times New Roman" w:cs="Times New Roman"/>
          <w:szCs w:val="24"/>
        </w:rPr>
        <w:t>be administered</w:t>
      </w:r>
      <w:proofErr w:type="gramEnd"/>
      <w:r w:rsidRPr="00CA1BC1">
        <w:rPr>
          <w:rFonts w:eastAsia="Times New Roman" w:cs="Times New Roman"/>
          <w:szCs w:val="24"/>
        </w:rPr>
        <w:t xml:space="preserve"> or when newly developed assessments are available, whichever is later.</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The Board shall also provide the option of industry certification and state licensure examinations as a student-selected credit.</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The Board of Education shall make publicly available such assessments in a timely manner and as soon as practicable following the administration of such tests, so long as the release of such assessments does not compromise test security or deplete the bank of assessment questions necessary to construct subsequent tests, or limit the ability to test students on demand and provide immediate results in the web-based assessment system.</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 xml:space="preserve">The Board shall include in the student outcome measures that are required by the Standards for Accreditation end-of-course or end-of-grade assessments for various grade levels and classes, including the completion of the alternative assessments implemented by each local school board, in accordance with the Standards of Learning. These assessments shall include end-of-course or </w:t>
      </w:r>
      <w:r w:rsidRPr="00CA1BC1">
        <w:rPr>
          <w:rFonts w:eastAsia="Times New Roman" w:cs="Times New Roman"/>
          <w:szCs w:val="24"/>
        </w:rPr>
        <w:lastRenderedPageBreak/>
        <w:t xml:space="preserve">end-of-grade tests for English, mathematics, science, and history and social science and </w:t>
      </w:r>
      <w:proofErr w:type="gramStart"/>
      <w:r w:rsidRPr="00CA1BC1">
        <w:rPr>
          <w:rFonts w:eastAsia="Times New Roman" w:cs="Times New Roman"/>
          <w:szCs w:val="24"/>
        </w:rPr>
        <w:t>may be integrated</w:t>
      </w:r>
      <w:proofErr w:type="gramEnd"/>
      <w:r w:rsidRPr="00CA1BC1">
        <w:rPr>
          <w:rFonts w:eastAsia="Times New Roman" w:cs="Times New Roman"/>
          <w:szCs w:val="24"/>
        </w:rPr>
        <w:t xml:space="preserve"> to include multiple subject areas.</w:t>
      </w:r>
    </w:p>
    <w:p w:rsidR="00CA1BC1" w:rsidRPr="00CA1BC1" w:rsidRDefault="00CA1BC1" w:rsidP="00CA1BC1">
      <w:pPr>
        <w:spacing w:after="0" w:line="240" w:lineRule="auto"/>
        <w:textAlignment w:val="baseline"/>
        <w:rPr>
          <w:rFonts w:eastAsia="Times New Roman" w:cs="Times New Roman"/>
          <w:szCs w:val="24"/>
        </w:rPr>
      </w:pPr>
      <w:r w:rsidRPr="00CA1BC1">
        <w:rPr>
          <w:rFonts w:eastAsia="Times New Roman" w:cs="Times New Roman"/>
          <w:szCs w:val="24"/>
        </w:rPr>
        <w:t>The Board shall prescribe alternative methods of Standards of Learning assessment administration for children with disabilities, as that term is defined in § </w:t>
      </w:r>
      <w:hyperlink r:id="rId115" w:history="1">
        <w:r w:rsidRPr="00CA1BC1">
          <w:rPr>
            <w:rFonts w:eastAsia="Times New Roman" w:cs="Times New Roman"/>
            <w:szCs w:val="24"/>
            <w:bdr w:val="none" w:sz="0" w:space="0" w:color="auto" w:frame="1"/>
          </w:rPr>
          <w:t>22.1-213</w:t>
        </w:r>
      </w:hyperlink>
      <w:r w:rsidRPr="00CA1BC1">
        <w:rPr>
          <w:rFonts w:eastAsia="Times New Roman" w:cs="Times New Roman"/>
          <w:szCs w:val="24"/>
        </w:rPr>
        <w:t>, who meet criteria established by the Board to demonstrate achievement of the Standards of Learning. An eligible student's Individual Education Program team shall make the final determination as to whether an alternative method of administration is appropriate for the student.</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The Standards of Learning assessments administered to students in grades three through eight shall not exceed (a) reading and mathematics in grades three and four; (b) reading, mathematics, and science in grade five; (c) reading and mathematics in grades six and seven; (d) reading, writing, and mathematics in grade eight; (e) science after the student receives instruction in the grade six science, life science, and physical science Standards of Learning and before the student completes grade eight; and (f) Virginia Studies and Civics and Economics once each at the grade levels deemed appropriate by each local school board.</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Each school board shall annually certify that it has provided instruction and administered an alternative assessment, consistent with Board guidelines, to students in grades three through eight in each Standards of Learning subject area in which a Standards of Learning assessment was not administered during the school year. Such guidelines shall (1) incorporate options for age-appropriate, authentic performance assessments and portfolios with rubrics and other methodologies designed to ensure that students are making adequate academic progress in the subject area and that the Standards of Learning content is being taught; (2) permit and encourage integrated assessments that include multiple subject areas; and (3) emphasize collaboration between teachers to administer and substantiate the assessments and the professional development of teachers to enable them to make the best use of alternative assessments.</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Local school divisions shall provide targeted mathematics remediation and intervention to students in grades six through eight who show computational deficiencies as demonstrated by their individual performance on any diagnostic test or grade-level Standards of Learning mathematics test that measures non-calculator computational skills.</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The Department of Education shall award recovery credit to any student in grades three through eight who fails a Standards of Learning assessment in English reading or mathematics, receives remediation, and subsequently retakes and passes such an assessment, including any such student who subsequently retakes such an assessment on an expedited basis.</w:t>
      </w:r>
    </w:p>
    <w:p w:rsidR="00CA1BC1" w:rsidRPr="00CA1BC1" w:rsidRDefault="00CA1BC1" w:rsidP="00CA1BC1">
      <w:pPr>
        <w:spacing w:after="0" w:line="240" w:lineRule="auto"/>
        <w:textAlignment w:val="baseline"/>
        <w:rPr>
          <w:rFonts w:eastAsia="Times New Roman" w:cs="Times New Roman"/>
          <w:szCs w:val="24"/>
        </w:rPr>
      </w:pPr>
      <w:r w:rsidRPr="00CA1BC1">
        <w:rPr>
          <w:rFonts w:eastAsia="Times New Roman" w:cs="Times New Roman"/>
          <w:szCs w:val="24"/>
        </w:rPr>
        <w:t xml:space="preserve">In addition, to assess the educational progress of students, the Board of Education shall (A) develop appropriate assessments, which may include criterion-referenced tests and other assessment instruments that may be used by classroom teachers; (B) select appropriate industry certification and state licensure examinations; and (C) prescribe and provide measures, which may include nationally normed tests to be used to identify students who score in the bottom quartile at selected grade levels. An annual justification that includes evidence that the student meets the participation criteria defined by the Virginia Department of Education shall be provided for each student considered for the Virginia Grade Level Alternative. Each Individual Education Program team shall review such justification and make the final determination as to whether or not the Virginia Grade Level Alternative is appropriate for the student. The superintendent and the school board </w:t>
      </w:r>
      <w:proofErr w:type="gramStart"/>
      <w:r w:rsidRPr="00CA1BC1">
        <w:rPr>
          <w:rFonts w:eastAsia="Times New Roman" w:cs="Times New Roman"/>
          <w:szCs w:val="24"/>
        </w:rPr>
        <w:t>chairman</w:t>
      </w:r>
      <w:proofErr w:type="gramEnd"/>
      <w:r w:rsidRPr="00CA1BC1">
        <w:rPr>
          <w:rFonts w:eastAsia="Times New Roman" w:cs="Times New Roman"/>
          <w:szCs w:val="24"/>
        </w:rPr>
        <w:t xml:space="preserve"> shall certify to the Board of Education, as a part of </w:t>
      </w:r>
      <w:r w:rsidRPr="00CA1BC1">
        <w:rPr>
          <w:rFonts w:eastAsia="Times New Roman" w:cs="Times New Roman"/>
          <w:szCs w:val="24"/>
        </w:rPr>
        <w:lastRenderedPageBreak/>
        <w:t>certifying compliance with the Standards of Quality, that there is a justification in the Individual Education Program for every student who takes the Virginia Grade Level Alternative. Compliance with this requirement shall be monitored as a part of the special education monitoring process conducted by the Department of Education. The Board shall report to the Governor and General Assembly in its annual reports pursuant to § </w:t>
      </w:r>
      <w:hyperlink r:id="rId116" w:history="1">
        <w:r w:rsidRPr="00CA1BC1">
          <w:rPr>
            <w:rFonts w:eastAsia="Times New Roman" w:cs="Times New Roman"/>
            <w:szCs w:val="24"/>
            <w:bdr w:val="none" w:sz="0" w:space="0" w:color="auto" w:frame="1"/>
          </w:rPr>
          <w:t>22.1-18</w:t>
        </w:r>
      </w:hyperlink>
      <w:r w:rsidRPr="00CA1BC1">
        <w:rPr>
          <w:rFonts w:eastAsia="Times New Roman" w:cs="Times New Roman"/>
          <w:szCs w:val="24"/>
        </w:rPr>
        <w:t> any school division that is not in compliance with this requirement.</w:t>
      </w:r>
    </w:p>
    <w:p w:rsidR="00CA1BC1" w:rsidRPr="00CA1BC1" w:rsidRDefault="00CA1BC1" w:rsidP="00CA1BC1">
      <w:pPr>
        <w:spacing w:after="0" w:line="240" w:lineRule="auto"/>
        <w:textAlignment w:val="baseline"/>
        <w:rPr>
          <w:rFonts w:eastAsia="Times New Roman" w:cs="Times New Roman"/>
          <w:szCs w:val="24"/>
        </w:rPr>
      </w:pPr>
      <w:r w:rsidRPr="00CA1BC1">
        <w:rPr>
          <w:rFonts w:eastAsia="Times New Roman" w:cs="Times New Roman"/>
          <w:szCs w:val="24"/>
        </w:rPr>
        <w:t>The Standards of Learning requirements, including all related assessments, shall be waived for any student awarded a scholarship under the Brown v. Board of Education Scholarship Program, pursuant to § </w:t>
      </w:r>
      <w:hyperlink r:id="rId117" w:history="1">
        <w:r w:rsidRPr="00CA1BC1">
          <w:rPr>
            <w:rFonts w:eastAsia="Times New Roman" w:cs="Times New Roman"/>
            <w:szCs w:val="24"/>
            <w:bdr w:val="none" w:sz="0" w:space="0" w:color="auto" w:frame="1"/>
          </w:rPr>
          <w:t>30-231.2</w:t>
        </w:r>
      </w:hyperlink>
      <w:r w:rsidRPr="00CA1BC1">
        <w:rPr>
          <w:rFonts w:eastAsia="Times New Roman" w:cs="Times New Roman"/>
          <w:szCs w:val="24"/>
        </w:rPr>
        <w:t>, who is enrolled in a preparation program for a high school equivalency examination approved by the Board of Education or in an adult basic education program or an adult secondary education program to obtain the high school diploma or a high school equivalency certificate.</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The Department of Education shall develop processes for informing school divisions of changes in the Standards of Learning.</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The Board of Education may adopt special provisions related to the administration and use of any Standards of Learning test or tests in a content area as applied to accreditation ratings for any period during which the Standards of Learning content or assessments in that area are being revised and phased in. Prior to statewide administration of such tests, the Board of Education shall provide notice to local school boards regarding such special provisions.</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The Board of Education shall not include in its calculation of the passage rate of a Standards of Learning assessment for the purposes of state accountability any student whose parent has decided to not have his child take such Standards of Learning assessment, unless such exclusions would result in the school's not meeting any required state or federal participation rate.</w:t>
      </w:r>
    </w:p>
    <w:p w:rsidR="00CA1BC1" w:rsidRPr="00CA1BC1" w:rsidRDefault="00CA1BC1" w:rsidP="00CA1BC1">
      <w:pPr>
        <w:spacing w:after="0" w:line="240" w:lineRule="auto"/>
        <w:textAlignment w:val="baseline"/>
        <w:rPr>
          <w:rFonts w:eastAsia="Times New Roman" w:cs="Times New Roman"/>
          <w:szCs w:val="24"/>
        </w:rPr>
      </w:pPr>
      <w:r w:rsidRPr="00CA1BC1">
        <w:rPr>
          <w:rFonts w:eastAsia="Times New Roman" w:cs="Times New Roman"/>
          <w:szCs w:val="24"/>
        </w:rPr>
        <w:t xml:space="preserve">D. </w:t>
      </w:r>
      <w:proofErr w:type="gramStart"/>
      <w:r w:rsidRPr="00CA1BC1">
        <w:rPr>
          <w:rFonts w:eastAsia="Times New Roman" w:cs="Times New Roman"/>
          <w:szCs w:val="24"/>
        </w:rPr>
        <w:t>The</w:t>
      </w:r>
      <w:proofErr w:type="gramEnd"/>
      <w:r w:rsidRPr="00CA1BC1">
        <w:rPr>
          <w:rFonts w:eastAsia="Times New Roman" w:cs="Times New Roman"/>
          <w:szCs w:val="24"/>
        </w:rPr>
        <w:t xml:space="preserve"> Board of Education may pursue all available civil remedies pursuant to § </w:t>
      </w:r>
      <w:hyperlink r:id="rId118" w:history="1">
        <w:r w:rsidRPr="00CA1BC1">
          <w:rPr>
            <w:rFonts w:eastAsia="Times New Roman" w:cs="Times New Roman"/>
            <w:szCs w:val="24"/>
            <w:bdr w:val="none" w:sz="0" w:space="0" w:color="auto" w:frame="1"/>
          </w:rPr>
          <w:t>22.1-19.1</w:t>
        </w:r>
      </w:hyperlink>
      <w:r w:rsidRPr="00CA1BC1">
        <w:rPr>
          <w:rFonts w:eastAsia="Times New Roman" w:cs="Times New Roman"/>
          <w:szCs w:val="24"/>
        </w:rPr>
        <w:t> or administrative action pursuant to § </w:t>
      </w:r>
      <w:hyperlink r:id="rId119" w:history="1">
        <w:r w:rsidRPr="00CA1BC1">
          <w:rPr>
            <w:rFonts w:eastAsia="Times New Roman" w:cs="Times New Roman"/>
            <w:szCs w:val="24"/>
            <w:bdr w:val="none" w:sz="0" w:space="0" w:color="auto" w:frame="1"/>
          </w:rPr>
          <w:t>22.1-292.1</w:t>
        </w:r>
      </w:hyperlink>
      <w:r w:rsidRPr="00CA1BC1">
        <w:rPr>
          <w:rFonts w:eastAsia="Times New Roman" w:cs="Times New Roman"/>
          <w:szCs w:val="24"/>
        </w:rPr>
        <w:t> for breaches in test security and unauthorized alteration of test materials or test results.</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The Board may initiate or cause to be initiated a review or investigation of any alleged breach in security, unauthorized alteration, or improper administration of tests, including the exclusion of students from testing who are required to be assessed, by local school board employees responsible for the distribution or administration of the tests.</w:t>
      </w:r>
    </w:p>
    <w:p w:rsidR="00CA1BC1" w:rsidRPr="00CA1BC1" w:rsidRDefault="00CA1BC1" w:rsidP="00CA1BC1">
      <w:pPr>
        <w:spacing w:after="0" w:line="240" w:lineRule="auto"/>
        <w:textAlignment w:val="baseline"/>
        <w:rPr>
          <w:rFonts w:eastAsia="Times New Roman" w:cs="Times New Roman"/>
          <w:szCs w:val="24"/>
        </w:rPr>
      </w:pPr>
      <w:r w:rsidRPr="00CA1BC1">
        <w:rPr>
          <w:rFonts w:eastAsia="Times New Roman" w:cs="Times New Roman"/>
          <w:szCs w:val="24"/>
        </w:rPr>
        <w:t>Records and other information furnished to or prepared by the Board during the conduct of a review or investigation may be withheld pursuant to subdivision 10 of § </w:t>
      </w:r>
      <w:hyperlink r:id="rId120" w:history="1">
        <w:r w:rsidRPr="00CA1BC1">
          <w:rPr>
            <w:rFonts w:eastAsia="Times New Roman" w:cs="Times New Roman"/>
            <w:szCs w:val="24"/>
            <w:bdr w:val="none" w:sz="0" w:space="0" w:color="auto" w:frame="1"/>
          </w:rPr>
          <w:t>2.2-3705.3</w:t>
        </w:r>
      </w:hyperlink>
      <w:r w:rsidRPr="00CA1BC1">
        <w:rPr>
          <w:rFonts w:eastAsia="Times New Roman" w:cs="Times New Roman"/>
          <w:szCs w:val="24"/>
        </w:rPr>
        <w:t>. However, this section shall not prohibit the disclosure of records to (</w:t>
      </w:r>
      <w:proofErr w:type="spellStart"/>
      <w:r w:rsidRPr="00CA1BC1">
        <w:rPr>
          <w:rFonts w:eastAsia="Times New Roman" w:cs="Times New Roman"/>
          <w:szCs w:val="24"/>
        </w:rPr>
        <w:t>i</w:t>
      </w:r>
      <w:proofErr w:type="spellEnd"/>
      <w:r w:rsidRPr="00CA1BC1">
        <w:rPr>
          <w:rFonts w:eastAsia="Times New Roman" w:cs="Times New Roman"/>
          <w:szCs w:val="24"/>
        </w:rPr>
        <w:t>) a local school board or division superintendent for the purpose of permitting such board or superintendent to consider or to take personnel action with regard to an employee or (ii) any requester, after the conclusion of a review or investigation, in a form that (a) does not reveal the identity of any person making a complaint or supplying information to the Board on a confidential basis and (b) does not compromise the security of any test mandated by the Board. Any local school board or division superintendent receiving such records or other information shall, upon taking personnel action against a relevant employee, place copies of such records or information relating to the specific employee in such person's personnel file.</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 xml:space="preserve">Notwithstanding any other provision of state law, no test or examination authorized by this section, including the Standards of Learning assessments, shall be released or required to be </w:t>
      </w:r>
      <w:r w:rsidRPr="00CA1BC1">
        <w:rPr>
          <w:rFonts w:eastAsia="Times New Roman" w:cs="Times New Roman"/>
          <w:szCs w:val="24"/>
        </w:rPr>
        <w:lastRenderedPageBreak/>
        <w:t>released as minimum competency tests, if, in the judgment of the Board, such release would breach the security of such test or examination or deplete the bank of questions necessary to construct future secure tests.</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E. With such funds as may be appropriated, the Board of Education may provide, through an agreement with vendors having the technical capacity and expertise to provide computerized tests and assessments, and test construction, analysis, and security, for (</w:t>
      </w:r>
      <w:proofErr w:type="spellStart"/>
      <w:r w:rsidRPr="00CA1BC1">
        <w:rPr>
          <w:rFonts w:eastAsia="Times New Roman" w:cs="Times New Roman"/>
          <w:szCs w:val="24"/>
        </w:rPr>
        <w:t>i</w:t>
      </w:r>
      <w:proofErr w:type="spellEnd"/>
      <w:r w:rsidRPr="00CA1BC1">
        <w:rPr>
          <w:rFonts w:eastAsia="Times New Roman" w:cs="Times New Roman"/>
          <w:szCs w:val="24"/>
        </w:rPr>
        <w:t>) web-based computerized tests and assessments, including computer-adaptive Standards of Learning assessments, for the evaluation of student progress during and after remediation and (ii) the development of a remediation item bank directly related to the Standards of Learning.</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 xml:space="preserve">F. To assess the educational progress of students as individuals and as groups, each local school board shall require the use of Standards of Learning assessments, alternative assessments, and other relevant data, such as industry certification and state licensure examinations, to evaluate student progress and to determine educational performance. Each local school shall require the administration of appropriate assessments to students, which may include criterion-referenced tests and teacher-made tests and shall include the Standards of Learning assessments, the local school board's alternative assessments, and the National Assessment of Educational Progress state-by-state assessment. Each school board shall analyze and report annually, in compliance with any criteria that may be established by the Board of Education, the results from the Stanford Achievement Test Series, Ninth Edition (Stanford </w:t>
      </w:r>
      <w:proofErr w:type="gramStart"/>
      <w:r w:rsidRPr="00CA1BC1">
        <w:rPr>
          <w:rFonts w:eastAsia="Times New Roman" w:cs="Times New Roman"/>
          <w:szCs w:val="24"/>
        </w:rPr>
        <w:t>Nine</w:t>
      </w:r>
      <w:proofErr w:type="gramEnd"/>
      <w:r w:rsidRPr="00CA1BC1">
        <w:rPr>
          <w:rFonts w:eastAsia="Times New Roman" w:cs="Times New Roman"/>
          <w:szCs w:val="24"/>
        </w:rPr>
        <w:t>) assessment, if administered, industry certification examinations, and the Standards of Learning Assessments to the public.</w:t>
      </w:r>
    </w:p>
    <w:p w:rsidR="00CA1BC1" w:rsidRPr="00CA1BC1" w:rsidRDefault="00CA1BC1" w:rsidP="00CA1BC1">
      <w:pPr>
        <w:spacing w:after="0" w:line="240" w:lineRule="auto"/>
        <w:textAlignment w:val="baseline"/>
        <w:rPr>
          <w:rFonts w:eastAsia="Times New Roman" w:cs="Times New Roman"/>
          <w:szCs w:val="24"/>
        </w:rPr>
      </w:pPr>
      <w:r w:rsidRPr="00CA1BC1">
        <w:rPr>
          <w:rFonts w:eastAsia="Times New Roman" w:cs="Times New Roman"/>
          <w:szCs w:val="24"/>
        </w:rPr>
        <w:t>The Board of Education shall not require administration of the Stanford Achievement Test Series, Ninth Edition (Stanford Nine) assessment, except as may be selected to facilitate compliance with the requirements for home instruction pursuant to § </w:t>
      </w:r>
      <w:hyperlink r:id="rId121" w:history="1">
        <w:r w:rsidRPr="00CA1BC1">
          <w:rPr>
            <w:rFonts w:eastAsia="Times New Roman" w:cs="Times New Roman"/>
            <w:szCs w:val="24"/>
            <w:bdr w:val="none" w:sz="0" w:space="0" w:color="auto" w:frame="1"/>
          </w:rPr>
          <w:t>22.1-254.1</w:t>
        </w:r>
      </w:hyperlink>
      <w:r w:rsidRPr="00CA1BC1">
        <w:rPr>
          <w:rFonts w:eastAsia="Times New Roman" w:cs="Times New Roman"/>
          <w:szCs w:val="24"/>
        </w:rPr>
        <w:t>.</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The Board shall include requirements for the reporting of the Standards of Learning assessment scores and averages for each year, regardless of accreditation frequency, as part of the Board's requirements relating to the School Performance Report Card. Such scores shall be disaggregated for each school by student subgroups on the Virginia assessment program as appropriate and shall be reported to the public within three months of their receipt. These reports (</w:t>
      </w:r>
      <w:proofErr w:type="spellStart"/>
      <w:r w:rsidRPr="00CA1BC1">
        <w:rPr>
          <w:rFonts w:eastAsia="Times New Roman" w:cs="Times New Roman"/>
          <w:szCs w:val="24"/>
        </w:rPr>
        <w:t>i</w:t>
      </w:r>
      <w:proofErr w:type="spellEnd"/>
      <w:r w:rsidRPr="00CA1BC1">
        <w:rPr>
          <w:rFonts w:eastAsia="Times New Roman" w:cs="Times New Roman"/>
          <w:szCs w:val="24"/>
        </w:rPr>
        <w:t>) shall be posted on the portion of the Department of Education's website relating to the School Performance Report Card, in a format and in a manner that allows year-to-year comparisons, and (ii) may include the National Assessment of Educational Progress state-by-state assessment.</w:t>
      </w:r>
    </w:p>
    <w:p w:rsidR="00CA1BC1" w:rsidRPr="00CA1BC1" w:rsidRDefault="00CA1BC1" w:rsidP="00CA1BC1">
      <w:pPr>
        <w:spacing w:after="0" w:line="240" w:lineRule="auto"/>
        <w:textAlignment w:val="baseline"/>
        <w:rPr>
          <w:rFonts w:eastAsia="Times New Roman" w:cs="Times New Roman"/>
          <w:szCs w:val="24"/>
        </w:rPr>
      </w:pPr>
      <w:r w:rsidRPr="00CA1BC1">
        <w:rPr>
          <w:rFonts w:eastAsia="Times New Roman" w:cs="Times New Roman"/>
          <w:szCs w:val="24"/>
        </w:rPr>
        <w:t>G. Each local school division superintendent shall regularly review the division's submission of data and reports required by state and federal law and regulations to ensure that all information is accurate and submitted in a timely fashion. The Superintendent of Public Instruction shall provide a list of the required reports and data to division superintendents annually. The status of compliance with this requirement shall be included in the Board of Education's annual report to the Governor and the General Assembly as required by § </w:t>
      </w:r>
      <w:hyperlink r:id="rId122" w:history="1">
        <w:r w:rsidRPr="00CA1BC1">
          <w:rPr>
            <w:rFonts w:eastAsia="Times New Roman" w:cs="Times New Roman"/>
            <w:szCs w:val="24"/>
            <w:bdr w:val="none" w:sz="0" w:space="0" w:color="auto" w:frame="1"/>
          </w:rPr>
          <w:t>22.1-18</w:t>
        </w:r>
      </w:hyperlink>
      <w:r w:rsidRPr="00CA1BC1">
        <w:rPr>
          <w:rFonts w:eastAsia="Times New Roman" w:cs="Times New Roman"/>
          <w:szCs w:val="24"/>
        </w:rPr>
        <w:t>.</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 xml:space="preserve">H. Any school board may request the Board of Education for release from state regulations or, on behalf of one or more of its schools, for approval of an Individual School Accreditation Plan for the evaluation of the performance of one or more of its schools as authorized for certain other schools by the Standards for Accreditation pursuant to 8VAC20-131-280 C of the Virginia Administrative Code. Waivers of regulatory requirements may be granted by the Board of Education based on submission of a request from the division superintendent and </w:t>
      </w:r>
      <w:proofErr w:type="gramStart"/>
      <w:r w:rsidRPr="00CA1BC1">
        <w:rPr>
          <w:rFonts w:eastAsia="Times New Roman" w:cs="Times New Roman"/>
          <w:szCs w:val="24"/>
        </w:rPr>
        <w:t>chairman</w:t>
      </w:r>
      <w:proofErr w:type="gramEnd"/>
      <w:r w:rsidRPr="00CA1BC1">
        <w:rPr>
          <w:rFonts w:eastAsia="Times New Roman" w:cs="Times New Roman"/>
          <w:szCs w:val="24"/>
        </w:rPr>
        <w:t xml:space="preserve"> of the </w:t>
      </w:r>
      <w:r w:rsidRPr="00CA1BC1">
        <w:rPr>
          <w:rFonts w:eastAsia="Times New Roman" w:cs="Times New Roman"/>
          <w:szCs w:val="24"/>
        </w:rPr>
        <w:lastRenderedPageBreak/>
        <w:t>local school board. The Board of Education may grant, for a period up to five years, a waiver of regulatory requirements that are not (</w:t>
      </w:r>
      <w:proofErr w:type="spellStart"/>
      <w:r w:rsidRPr="00CA1BC1">
        <w:rPr>
          <w:rFonts w:eastAsia="Times New Roman" w:cs="Times New Roman"/>
          <w:szCs w:val="24"/>
        </w:rPr>
        <w:t>i</w:t>
      </w:r>
      <w:proofErr w:type="spellEnd"/>
      <w:r w:rsidRPr="00CA1BC1">
        <w:rPr>
          <w:rFonts w:eastAsia="Times New Roman" w:cs="Times New Roman"/>
          <w:szCs w:val="24"/>
        </w:rPr>
        <w:t>) mandated by state or federal law or (ii) designed to promote health or safety. The school board shall provide in its waiver request a description of how the releases from state regulations are designed to increase the quality of instruction and improve the achievement of students in the affected school or schools. The Department of Education shall provide (a) guidance to any local school division that requests releases from state regulations and (b) information about opportunities to form partnerships with other agencies or entities to any local school division in which the school or schools granted releases from state regulations have demonstrated improvement in the quality of instruction and the achievement of students.</w:t>
      </w:r>
    </w:p>
    <w:p w:rsidR="00CA1BC1" w:rsidRPr="00CA1BC1" w:rsidRDefault="00CA1BC1" w:rsidP="00CA1BC1">
      <w:pPr>
        <w:spacing w:after="0" w:line="240" w:lineRule="auto"/>
        <w:textAlignment w:val="baseline"/>
        <w:rPr>
          <w:rFonts w:eastAsia="Times New Roman" w:cs="Times New Roman"/>
          <w:szCs w:val="24"/>
        </w:rPr>
      </w:pPr>
      <w:r w:rsidRPr="00CA1BC1">
        <w:rPr>
          <w:rFonts w:eastAsia="Times New Roman" w:cs="Times New Roman"/>
          <w:szCs w:val="24"/>
        </w:rPr>
        <w:t>The Board of Education may also grant local school boards waivers of specific requirements in § </w:t>
      </w:r>
      <w:hyperlink r:id="rId123" w:history="1">
        <w:r w:rsidRPr="00CA1BC1">
          <w:rPr>
            <w:rFonts w:eastAsia="Times New Roman" w:cs="Times New Roman"/>
            <w:szCs w:val="24"/>
            <w:bdr w:val="none" w:sz="0" w:space="0" w:color="auto" w:frame="1"/>
          </w:rPr>
          <w:t>22.1-253.13:2</w:t>
        </w:r>
      </w:hyperlink>
      <w:r w:rsidRPr="00CA1BC1">
        <w:rPr>
          <w:rFonts w:eastAsia="Times New Roman" w:cs="Times New Roman"/>
          <w:szCs w:val="24"/>
        </w:rPr>
        <w:t xml:space="preserve">, based on submission of a request from the division superintendent and chairman of the local school board, permitting the local school board to assign instructional personnel to the schools with the greatest needs, so long as the school division employs a sufficient number of personnel </w:t>
      </w:r>
      <w:proofErr w:type="spellStart"/>
      <w:r w:rsidRPr="00CA1BC1">
        <w:rPr>
          <w:rFonts w:eastAsia="Times New Roman" w:cs="Times New Roman"/>
          <w:szCs w:val="24"/>
        </w:rPr>
        <w:t>divisionwide</w:t>
      </w:r>
      <w:proofErr w:type="spellEnd"/>
      <w:r w:rsidRPr="00CA1BC1">
        <w:rPr>
          <w:rFonts w:eastAsia="Times New Roman" w:cs="Times New Roman"/>
          <w:szCs w:val="24"/>
        </w:rPr>
        <w:t xml:space="preserve"> to meet the total number required by § </w:t>
      </w:r>
      <w:hyperlink r:id="rId124" w:history="1">
        <w:r w:rsidRPr="00CA1BC1">
          <w:rPr>
            <w:rFonts w:eastAsia="Times New Roman" w:cs="Times New Roman"/>
            <w:szCs w:val="24"/>
            <w:bdr w:val="none" w:sz="0" w:space="0" w:color="auto" w:frame="1"/>
          </w:rPr>
          <w:t>22.1-253.13:2</w:t>
        </w:r>
      </w:hyperlink>
      <w:r w:rsidRPr="00CA1BC1">
        <w:rPr>
          <w:rFonts w:eastAsia="Times New Roman" w:cs="Times New Roman"/>
          <w:szCs w:val="24"/>
        </w:rPr>
        <w:t> and all pupil/teacher ratios and class size maximums set forth in subsection C of § </w:t>
      </w:r>
      <w:hyperlink r:id="rId125" w:history="1">
        <w:r w:rsidRPr="00CA1BC1">
          <w:rPr>
            <w:rFonts w:eastAsia="Times New Roman" w:cs="Times New Roman"/>
            <w:szCs w:val="24"/>
            <w:bdr w:val="none" w:sz="0" w:space="0" w:color="auto" w:frame="1"/>
          </w:rPr>
          <w:t>22.1-253.13:2</w:t>
        </w:r>
      </w:hyperlink>
      <w:r w:rsidRPr="00CA1BC1">
        <w:rPr>
          <w:rFonts w:eastAsia="Times New Roman" w:cs="Times New Roman"/>
          <w:szCs w:val="24"/>
        </w:rPr>
        <w:t> are met. The school board shall provide in its request a description of how the waivers from specific Standards of Quality staffing standards are designed to increase the quality of instruction and improve the achievement of students in the affected school or schools. The waivers may be renewed in up to five-year increments, or revoked, based on student achievement results in the affected school or schools.</w:t>
      </w:r>
    </w:p>
    <w:p w:rsidR="00CA1BC1" w:rsidRPr="00CA1BC1" w:rsidRDefault="00CA1BC1" w:rsidP="00CA1BC1">
      <w:pPr>
        <w:spacing w:after="0" w:line="240" w:lineRule="auto"/>
        <w:textAlignment w:val="baseline"/>
        <w:rPr>
          <w:rFonts w:eastAsia="Times New Roman" w:cs="Times New Roman"/>
          <w:szCs w:val="24"/>
        </w:rPr>
      </w:pPr>
      <w:r w:rsidRPr="00CA1BC1">
        <w:rPr>
          <w:rFonts w:eastAsia="Times New Roman" w:cs="Times New Roman"/>
          <w:szCs w:val="24"/>
        </w:rPr>
        <w:t>1988, cc. 645, 682; 1990, cc. 820, 839; 1992, c. 591; 1998, cc. </w:t>
      </w:r>
      <w:hyperlink r:id="rId126" w:history="1">
        <w:r w:rsidRPr="00CA1BC1">
          <w:rPr>
            <w:rFonts w:eastAsia="Times New Roman" w:cs="Times New Roman"/>
            <w:szCs w:val="24"/>
            <w:bdr w:val="none" w:sz="0" w:space="0" w:color="auto" w:frame="1"/>
          </w:rPr>
          <w:t>456</w:t>
        </w:r>
      </w:hyperlink>
      <w:r w:rsidRPr="00CA1BC1">
        <w:rPr>
          <w:rFonts w:eastAsia="Times New Roman" w:cs="Times New Roman"/>
          <w:szCs w:val="24"/>
        </w:rPr>
        <w:t>, </w:t>
      </w:r>
      <w:hyperlink r:id="rId127" w:history="1">
        <w:r w:rsidRPr="00CA1BC1">
          <w:rPr>
            <w:rFonts w:eastAsia="Times New Roman" w:cs="Times New Roman"/>
            <w:szCs w:val="24"/>
            <w:bdr w:val="none" w:sz="0" w:space="0" w:color="auto" w:frame="1"/>
          </w:rPr>
          <w:t>567</w:t>
        </w:r>
      </w:hyperlink>
      <w:r w:rsidRPr="00CA1BC1">
        <w:rPr>
          <w:rFonts w:eastAsia="Times New Roman" w:cs="Times New Roman"/>
          <w:szCs w:val="24"/>
        </w:rPr>
        <w:t>, </w:t>
      </w:r>
      <w:hyperlink r:id="rId128" w:history="1">
        <w:r w:rsidRPr="00CA1BC1">
          <w:rPr>
            <w:rFonts w:eastAsia="Times New Roman" w:cs="Times New Roman"/>
            <w:szCs w:val="24"/>
            <w:bdr w:val="none" w:sz="0" w:space="0" w:color="auto" w:frame="1"/>
          </w:rPr>
          <w:t>602</w:t>
        </w:r>
      </w:hyperlink>
      <w:r w:rsidRPr="00CA1BC1">
        <w:rPr>
          <w:rFonts w:eastAsia="Times New Roman" w:cs="Times New Roman"/>
          <w:szCs w:val="24"/>
        </w:rPr>
        <w:t>, </w:t>
      </w:r>
      <w:hyperlink r:id="rId129" w:history="1">
        <w:r w:rsidRPr="00CA1BC1">
          <w:rPr>
            <w:rFonts w:eastAsia="Times New Roman" w:cs="Times New Roman"/>
            <w:szCs w:val="24"/>
            <w:bdr w:val="none" w:sz="0" w:space="0" w:color="auto" w:frame="1"/>
          </w:rPr>
          <w:t>627</w:t>
        </w:r>
      </w:hyperlink>
      <w:r w:rsidRPr="00CA1BC1">
        <w:rPr>
          <w:rFonts w:eastAsia="Times New Roman" w:cs="Times New Roman"/>
          <w:szCs w:val="24"/>
        </w:rPr>
        <w:t>, </w:t>
      </w:r>
      <w:hyperlink r:id="rId130" w:history="1">
        <w:r w:rsidRPr="00CA1BC1">
          <w:rPr>
            <w:rFonts w:eastAsia="Times New Roman" w:cs="Times New Roman"/>
            <w:szCs w:val="24"/>
            <w:bdr w:val="none" w:sz="0" w:space="0" w:color="auto" w:frame="1"/>
          </w:rPr>
          <w:t>843</w:t>
        </w:r>
      </w:hyperlink>
      <w:r w:rsidRPr="00CA1BC1">
        <w:rPr>
          <w:rFonts w:eastAsia="Times New Roman" w:cs="Times New Roman"/>
          <w:szCs w:val="24"/>
        </w:rPr>
        <w:t>, </w:t>
      </w:r>
      <w:hyperlink r:id="rId131" w:history="1">
        <w:r w:rsidRPr="00CA1BC1">
          <w:rPr>
            <w:rFonts w:eastAsia="Times New Roman" w:cs="Times New Roman"/>
            <w:szCs w:val="24"/>
            <w:bdr w:val="none" w:sz="0" w:space="0" w:color="auto" w:frame="1"/>
          </w:rPr>
          <w:t>902</w:t>
        </w:r>
      </w:hyperlink>
      <w:r w:rsidRPr="00CA1BC1">
        <w:rPr>
          <w:rFonts w:eastAsia="Times New Roman" w:cs="Times New Roman"/>
          <w:szCs w:val="24"/>
        </w:rPr>
        <w:t>; 1999, cc. </w:t>
      </w:r>
      <w:hyperlink r:id="rId132" w:history="1">
        <w:r w:rsidRPr="00CA1BC1">
          <w:rPr>
            <w:rFonts w:eastAsia="Times New Roman" w:cs="Times New Roman"/>
            <w:szCs w:val="24"/>
            <w:bdr w:val="none" w:sz="0" w:space="0" w:color="auto" w:frame="1"/>
          </w:rPr>
          <w:t>670</w:t>
        </w:r>
      </w:hyperlink>
      <w:r w:rsidRPr="00CA1BC1">
        <w:rPr>
          <w:rFonts w:eastAsia="Times New Roman" w:cs="Times New Roman"/>
          <w:szCs w:val="24"/>
        </w:rPr>
        <w:t>, </w:t>
      </w:r>
      <w:hyperlink r:id="rId133" w:history="1">
        <w:r w:rsidRPr="00CA1BC1">
          <w:rPr>
            <w:rFonts w:eastAsia="Times New Roman" w:cs="Times New Roman"/>
            <w:szCs w:val="24"/>
            <w:bdr w:val="none" w:sz="0" w:space="0" w:color="auto" w:frame="1"/>
          </w:rPr>
          <w:t>731</w:t>
        </w:r>
      </w:hyperlink>
      <w:r w:rsidRPr="00CA1BC1">
        <w:rPr>
          <w:rFonts w:eastAsia="Times New Roman" w:cs="Times New Roman"/>
          <w:szCs w:val="24"/>
        </w:rPr>
        <w:t>, </w:t>
      </w:r>
      <w:hyperlink r:id="rId134" w:history="1">
        <w:r w:rsidRPr="00CA1BC1">
          <w:rPr>
            <w:rFonts w:eastAsia="Times New Roman" w:cs="Times New Roman"/>
            <w:szCs w:val="24"/>
            <w:bdr w:val="none" w:sz="0" w:space="0" w:color="auto" w:frame="1"/>
          </w:rPr>
          <w:t>1015</w:t>
        </w:r>
      </w:hyperlink>
      <w:r w:rsidRPr="00CA1BC1">
        <w:rPr>
          <w:rFonts w:eastAsia="Times New Roman" w:cs="Times New Roman"/>
          <w:szCs w:val="24"/>
        </w:rPr>
        <w:t>; 2000, cc. </w:t>
      </w:r>
      <w:hyperlink r:id="rId135" w:history="1">
        <w:r w:rsidRPr="00CA1BC1">
          <w:rPr>
            <w:rFonts w:eastAsia="Times New Roman" w:cs="Times New Roman"/>
            <w:szCs w:val="24"/>
            <w:bdr w:val="none" w:sz="0" w:space="0" w:color="auto" w:frame="1"/>
          </w:rPr>
          <w:t>504</w:t>
        </w:r>
      </w:hyperlink>
      <w:r w:rsidRPr="00CA1BC1">
        <w:rPr>
          <w:rFonts w:eastAsia="Times New Roman" w:cs="Times New Roman"/>
          <w:szCs w:val="24"/>
        </w:rPr>
        <w:t>, </w:t>
      </w:r>
      <w:hyperlink r:id="rId136" w:history="1">
        <w:r w:rsidRPr="00CA1BC1">
          <w:rPr>
            <w:rFonts w:eastAsia="Times New Roman" w:cs="Times New Roman"/>
            <w:szCs w:val="24"/>
            <w:bdr w:val="none" w:sz="0" w:space="0" w:color="auto" w:frame="1"/>
          </w:rPr>
          <w:t>735</w:t>
        </w:r>
      </w:hyperlink>
      <w:r w:rsidRPr="00CA1BC1">
        <w:rPr>
          <w:rFonts w:eastAsia="Times New Roman" w:cs="Times New Roman"/>
          <w:szCs w:val="24"/>
        </w:rPr>
        <w:t>, </w:t>
      </w:r>
      <w:hyperlink r:id="rId137" w:history="1">
        <w:r w:rsidRPr="00CA1BC1">
          <w:rPr>
            <w:rFonts w:eastAsia="Times New Roman" w:cs="Times New Roman"/>
            <w:szCs w:val="24"/>
            <w:bdr w:val="none" w:sz="0" w:space="0" w:color="auto" w:frame="1"/>
          </w:rPr>
          <w:t>742</w:t>
        </w:r>
      </w:hyperlink>
      <w:r w:rsidRPr="00CA1BC1">
        <w:rPr>
          <w:rFonts w:eastAsia="Times New Roman" w:cs="Times New Roman"/>
          <w:szCs w:val="24"/>
        </w:rPr>
        <w:t>, </w:t>
      </w:r>
      <w:hyperlink r:id="rId138" w:history="1">
        <w:r w:rsidRPr="00CA1BC1">
          <w:rPr>
            <w:rFonts w:eastAsia="Times New Roman" w:cs="Times New Roman"/>
            <w:szCs w:val="24"/>
            <w:bdr w:val="none" w:sz="0" w:space="0" w:color="auto" w:frame="1"/>
          </w:rPr>
          <w:t>750</w:t>
        </w:r>
      </w:hyperlink>
      <w:r w:rsidRPr="00CA1BC1">
        <w:rPr>
          <w:rFonts w:eastAsia="Times New Roman" w:cs="Times New Roman"/>
          <w:szCs w:val="24"/>
        </w:rPr>
        <w:t>, </w:t>
      </w:r>
      <w:hyperlink r:id="rId139" w:history="1">
        <w:r w:rsidRPr="00CA1BC1">
          <w:rPr>
            <w:rFonts w:eastAsia="Times New Roman" w:cs="Times New Roman"/>
            <w:szCs w:val="24"/>
            <w:bdr w:val="none" w:sz="0" w:space="0" w:color="auto" w:frame="1"/>
          </w:rPr>
          <w:t>752</w:t>
        </w:r>
      </w:hyperlink>
      <w:r w:rsidRPr="00CA1BC1">
        <w:rPr>
          <w:rFonts w:eastAsia="Times New Roman" w:cs="Times New Roman"/>
          <w:szCs w:val="24"/>
        </w:rPr>
        <w:t>, </w:t>
      </w:r>
      <w:hyperlink r:id="rId140" w:history="1">
        <w:r w:rsidRPr="00CA1BC1">
          <w:rPr>
            <w:rFonts w:eastAsia="Times New Roman" w:cs="Times New Roman"/>
            <w:szCs w:val="24"/>
            <w:bdr w:val="none" w:sz="0" w:space="0" w:color="auto" w:frame="1"/>
          </w:rPr>
          <w:t>867</w:t>
        </w:r>
      </w:hyperlink>
      <w:r w:rsidRPr="00CA1BC1">
        <w:rPr>
          <w:rFonts w:eastAsia="Times New Roman" w:cs="Times New Roman"/>
          <w:szCs w:val="24"/>
        </w:rPr>
        <w:t>, </w:t>
      </w:r>
      <w:hyperlink r:id="rId141" w:history="1">
        <w:r w:rsidRPr="00CA1BC1">
          <w:rPr>
            <w:rFonts w:eastAsia="Times New Roman" w:cs="Times New Roman"/>
            <w:szCs w:val="24"/>
            <w:bdr w:val="none" w:sz="0" w:space="0" w:color="auto" w:frame="1"/>
          </w:rPr>
          <w:t>1061</w:t>
        </w:r>
      </w:hyperlink>
      <w:r w:rsidRPr="00CA1BC1">
        <w:rPr>
          <w:rFonts w:eastAsia="Times New Roman" w:cs="Times New Roman"/>
          <w:szCs w:val="24"/>
        </w:rPr>
        <w:t>; 2001, cc. </w:t>
      </w:r>
      <w:hyperlink r:id="rId142" w:history="1">
        <w:r w:rsidRPr="00CA1BC1">
          <w:rPr>
            <w:rFonts w:eastAsia="Times New Roman" w:cs="Times New Roman"/>
            <w:szCs w:val="24"/>
            <w:bdr w:val="none" w:sz="0" w:space="0" w:color="auto" w:frame="1"/>
          </w:rPr>
          <w:t>651</w:t>
        </w:r>
      </w:hyperlink>
      <w:r w:rsidRPr="00CA1BC1">
        <w:rPr>
          <w:rFonts w:eastAsia="Times New Roman" w:cs="Times New Roman"/>
          <w:szCs w:val="24"/>
        </w:rPr>
        <w:t>, </w:t>
      </w:r>
      <w:hyperlink r:id="rId143" w:history="1">
        <w:r w:rsidRPr="00CA1BC1">
          <w:rPr>
            <w:rFonts w:eastAsia="Times New Roman" w:cs="Times New Roman"/>
            <w:szCs w:val="24"/>
            <w:bdr w:val="none" w:sz="0" w:space="0" w:color="auto" w:frame="1"/>
          </w:rPr>
          <w:t>731</w:t>
        </w:r>
      </w:hyperlink>
      <w:r w:rsidRPr="00CA1BC1">
        <w:rPr>
          <w:rFonts w:eastAsia="Times New Roman" w:cs="Times New Roman"/>
          <w:szCs w:val="24"/>
        </w:rPr>
        <w:t>; 2002, cc. </w:t>
      </w:r>
      <w:hyperlink r:id="rId144" w:history="1">
        <w:r w:rsidRPr="00CA1BC1">
          <w:rPr>
            <w:rFonts w:eastAsia="Times New Roman" w:cs="Times New Roman"/>
            <w:szCs w:val="24"/>
            <w:bdr w:val="none" w:sz="0" w:space="0" w:color="auto" w:frame="1"/>
          </w:rPr>
          <w:t>101</w:t>
        </w:r>
      </w:hyperlink>
      <w:r w:rsidRPr="00CA1BC1">
        <w:rPr>
          <w:rFonts w:eastAsia="Times New Roman" w:cs="Times New Roman"/>
          <w:szCs w:val="24"/>
        </w:rPr>
        <w:t>, </w:t>
      </w:r>
      <w:hyperlink r:id="rId145" w:history="1">
        <w:r w:rsidRPr="00CA1BC1">
          <w:rPr>
            <w:rFonts w:eastAsia="Times New Roman" w:cs="Times New Roman"/>
            <w:szCs w:val="24"/>
            <w:bdr w:val="none" w:sz="0" w:space="0" w:color="auto" w:frame="1"/>
          </w:rPr>
          <w:t>167</w:t>
        </w:r>
      </w:hyperlink>
      <w:r w:rsidRPr="00CA1BC1">
        <w:rPr>
          <w:rFonts w:eastAsia="Times New Roman" w:cs="Times New Roman"/>
          <w:szCs w:val="24"/>
        </w:rPr>
        <w:t>, </w:t>
      </w:r>
      <w:hyperlink r:id="rId146" w:history="1">
        <w:r w:rsidRPr="00CA1BC1">
          <w:rPr>
            <w:rFonts w:eastAsia="Times New Roman" w:cs="Times New Roman"/>
            <w:szCs w:val="24"/>
            <w:bdr w:val="none" w:sz="0" w:space="0" w:color="auto" w:frame="1"/>
          </w:rPr>
          <w:t>656</w:t>
        </w:r>
      </w:hyperlink>
      <w:r w:rsidRPr="00CA1BC1">
        <w:rPr>
          <w:rFonts w:eastAsia="Times New Roman" w:cs="Times New Roman"/>
          <w:szCs w:val="24"/>
        </w:rPr>
        <w:t>, </w:t>
      </w:r>
      <w:hyperlink r:id="rId147" w:history="1">
        <w:r w:rsidRPr="00CA1BC1">
          <w:rPr>
            <w:rFonts w:eastAsia="Times New Roman" w:cs="Times New Roman"/>
            <w:szCs w:val="24"/>
            <w:bdr w:val="none" w:sz="0" w:space="0" w:color="auto" w:frame="1"/>
          </w:rPr>
          <w:t>732</w:t>
        </w:r>
      </w:hyperlink>
      <w:r w:rsidRPr="00CA1BC1">
        <w:rPr>
          <w:rFonts w:eastAsia="Times New Roman" w:cs="Times New Roman"/>
          <w:szCs w:val="24"/>
        </w:rPr>
        <w:t>; 2003, cc. </w:t>
      </w:r>
      <w:hyperlink r:id="rId148" w:history="1">
        <w:r w:rsidRPr="00CA1BC1">
          <w:rPr>
            <w:rFonts w:eastAsia="Times New Roman" w:cs="Times New Roman"/>
            <w:szCs w:val="24"/>
            <w:bdr w:val="none" w:sz="0" w:space="0" w:color="auto" w:frame="1"/>
          </w:rPr>
          <w:t>691</w:t>
        </w:r>
      </w:hyperlink>
      <w:r w:rsidRPr="00CA1BC1">
        <w:rPr>
          <w:rFonts w:eastAsia="Times New Roman" w:cs="Times New Roman"/>
          <w:szCs w:val="24"/>
        </w:rPr>
        <w:t>, </w:t>
      </w:r>
      <w:hyperlink r:id="rId149" w:history="1">
        <w:r w:rsidRPr="00CA1BC1">
          <w:rPr>
            <w:rFonts w:eastAsia="Times New Roman" w:cs="Times New Roman"/>
            <w:szCs w:val="24"/>
            <w:bdr w:val="none" w:sz="0" w:space="0" w:color="auto" w:frame="1"/>
          </w:rPr>
          <w:t>1004</w:t>
        </w:r>
      </w:hyperlink>
      <w:r w:rsidRPr="00CA1BC1">
        <w:rPr>
          <w:rFonts w:eastAsia="Times New Roman" w:cs="Times New Roman"/>
          <w:szCs w:val="24"/>
        </w:rPr>
        <w:t>; 2004, cc. </w:t>
      </w:r>
      <w:hyperlink r:id="rId150" w:history="1">
        <w:r w:rsidRPr="00CA1BC1">
          <w:rPr>
            <w:rFonts w:eastAsia="Times New Roman" w:cs="Times New Roman"/>
            <w:szCs w:val="24"/>
            <w:bdr w:val="none" w:sz="0" w:space="0" w:color="auto" w:frame="1"/>
          </w:rPr>
          <w:t>472</w:t>
        </w:r>
      </w:hyperlink>
      <w:r w:rsidRPr="00CA1BC1">
        <w:rPr>
          <w:rFonts w:eastAsia="Times New Roman" w:cs="Times New Roman"/>
          <w:szCs w:val="24"/>
        </w:rPr>
        <w:t>, </w:t>
      </w:r>
      <w:hyperlink r:id="rId151" w:history="1">
        <w:r w:rsidRPr="00CA1BC1">
          <w:rPr>
            <w:rFonts w:eastAsia="Times New Roman" w:cs="Times New Roman"/>
            <w:szCs w:val="24"/>
            <w:bdr w:val="none" w:sz="0" w:space="0" w:color="auto" w:frame="1"/>
          </w:rPr>
          <w:t>939</w:t>
        </w:r>
      </w:hyperlink>
      <w:r w:rsidRPr="00CA1BC1">
        <w:rPr>
          <w:rFonts w:eastAsia="Times New Roman" w:cs="Times New Roman"/>
          <w:szCs w:val="24"/>
        </w:rPr>
        <w:t>, </w:t>
      </w:r>
      <w:hyperlink r:id="rId152" w:history="1">
        <w:r w:rsidRPr="00CA1BC1">
          <w:rPr>
            <w:rFonts w:eastAsia="Times New Roman" w:cs="Times New Roman"/>
            <w:szCs w:val="24"/>
            <w:bdr w:val="none" w:sz="0" w:space="0" w:color="auto" w:frame="1"/>
          </w:rPr>
          <w:t>955</w:t>
        </w:r>
      </w:hyperlink>
      <w:r w:rsidRPr="00CA1BC1">
        <w:rPr>
          <w:rFonts w:eastAsia="Times New Roman" w:cs="Times New Roman"/>
          <w:szCs w:val="24"/>
        </w:rPr>
        <w:t>, </w:t>
      </w:r>
      <w:hyperlink r:id="rId153" w:history="1">
        <w:r w:rsidRPr="00CA1BC1">
          <w:rPr>
            <w:rFonts w:eastAsia="Times New Roman" w:cs="Times New Roman"/>
            <w:szCs w:val="24"/>
            <w:bdr w:val="none" w:sz="0" w:space="0" w:color="auto" w:frame="1"/>
          </w:rPr>
          <w:t>965</w:t>
        </w:r>
      </w:hyperlink>
      <w:r w:rsidRPr="00CA1BC1">
        <w:rPr>
          <w:rFonts w:eastAsia="Times New Roman" w:cs="Times New Roman"/>
          <w:szCs w:val="24"/>
        </w:rPr>
        <w:t>; 2005, cc. </w:t>
      </w:r>
      <w:hyperlink r:id="rId154" w:history="1">
        <w:r w:rsidRPr="00CA1BC1">
          <w:rPr>
            <w:rFonts w:eastAsia="Times New Roman" w:cs="Times New Roman"/>
            <w:szCs w:val="24"/>
            <w:bdr w:val="none" w:sz="0" w:space="0" w:color="auto" w:frame="1"/>
          </w:rPr>
          <w:t>331</w:t>
        </w:r>
      </w:hyperlink>
      <w:r w:rsidRPr="00CA1BC1">
        <w:rPr>
          <w:rFonts w:eastAsia="Times New Roman" w:cs="Times New Roman"/>
          <w:szCs w:val="24"/>
        </w:rPr>
        <w:t>, </w:t>
      </w:r>
      <w:hyperlink r:id="rId155" w:history="1">
        <w:r w:rsidRPr="00CA1BC1">
          <w:rPr>
            <w:rFonts w:eastAsia="Times New Roman" w:cs="Times New Roman"/>
            <w:szCs w:val="24"/>
            <w:bdr w:val="none" w:sz="0" w:space="0" w:color="auto" w:frame="1"/>
          </w:rPr>
          <w:t>450</w:t>
        </w:r>
      </w:hyperlink>
      <w:r w:rsidRPr="00CA1BC1">
        <w:rPr>
          <w:rFonts w:eastAsia="Times New Roman" w:cs="Times New Roman"/>
          <w:szCs w:val="24"/>
        </w:rPr>
        <w:t>, </w:t>
      </w:r>
      <w:hyperlink r:id="rId156" w:history="1">
        <w:r w:rsidRPr="00CA1BC1">
          <w:rPr>
            <w:rFonts w:eastAsia="Times New Roman" w:cs="Times New Roman"/>
            <w:szCs w:val="24"/>
            <w:bdr w:val="none" w:sz="0" w:space="0" w:color="auto" w:frame="1"/>
          </w:rPr>
          <w:t>753</w:t>
        </w:r>
      </w:hyperlink>
      <w:r w:rsidRPr="00CA1BC1">
        <w:rPr>
          <w:rFonts w:eastAsia="Times New Roman" w:cs="Times New Roman"/>
          <w:szCs w:val="24"/>
        </w:rPr>
        <w:t>, </w:t>
      </w:r>
      <w:hyperlink r:id="rId157" w:history="1">
        <w:r w:rsidRPr="00CA1BC1">
          <w:rPr>
            <w:rFonts w:eastAsia="Times New Roman" w:cs="Times New Roman"/>
            <w:szCs w:val="24"/>
            <w:bdr w:val="none" w:sz="0" w:space="0" w:color="auto" w:frame="1"/>
          </w:rPr>
          <w:t>834</w:t>
        </w:r>
      </w:hyperlink>
      <w:r w:rsidRPr="00CA1BC1">
        <w:rPr>
          <w:rFonts w:eastAsia="Times New Roman" w:cs="Times New Roman"/>
          <w:szCs w:val="24"/>
        </w:rPr>
        <w:t>; 2006, cc. </w:t>
      </w:r>
      <w:hyperlink r:id="rId158" w:history="1">
        <w:r w:rsidRPr="00CA1BC1">
          <w:rPr>
            <w:rFonts w:eastAsia="Times New Roman" w:cs="Times New Roman"/>
            <w:szCs w:val="24"/>
            <w:bdr w:val="none" w:sz="0" w:space="0" w:color="auto" w:frame="1"/>
          </w:rPr>
          <w:t>25</w:t>
        </w:r>
      </w:hyperlink>
      <w:r w:rsidRPr="00CA1BC1">
        <w:rPr>
          <w:rFonts w:eastAsia="Times New Roman" w:cs="Times New Roman"/>
          <w:szCs w:val="24"/>
        </w:rPr>
        <w:t>, </w:t>
      </w:r>
      <w:hyperlink r:id="rId159" w:history="1">
        <w:r w:rsidRPr="00CA1BC1">
          <w:rPr>
            <w:rFonts w:eastAsia="Times New Roman" w:cs="Times New Roman"/>
            <w:szCs w:val="24"/>
            <w:bdr w:val="none" w:sz="0" w:space="0" w:color="auto" w:frame="1"/>
          </w:rPr>
          <w:t>38</w:t>
        </w:r>
      </w:hyperlink>
      <w:r w:rsidRPr="00CA1BC1">
        <w:rPr>
          <w:rFonts w:eastAsia="Times New Roman" w:cs="Times New Roman"/>
          <w:szCs w:val="24"/>
        </w:rPr>
        <w:t>, </w:t>
      </w:r>
      <w:hyperlink r:id="rId160" w:history="1">
        <w:r w:rsidRPr="00CA1BC1">
          <w:rPr>
            <w:rFonts w:eastAsia="Times New Roman" w:cs="Times New Roman"/>
            <w:szCs w:val="24"/>
            <w:bdr w:val="none" w:sz="0" w:space="0" w:color="auto" w:frame="1"/>
          </w:rPr>
          <w:t>95</w:t>
        </w:r>
      </w:hyperlink>
      <w:r w:rsidRPr="00CA1BC1">
        <w:rPr>
          <w:rFonts w:eastAsia="Times New Roman" w:cs="Times New Roman"/>
          <w:szCs w:val="24"/>
        </w:rPr>
        <w:t>, </w:t>
      </w:r>
      <w:hyperlink r:id="rId161" w:history="1">
        <w:r w:rsidRPr="00CA1BC1">
          <w:rPr>
            <w:rFonts w:eastAsia="Times New Roman" w:cs="Times New Roman"/>
            <w:szCs w:val="24"/>
            <w:bdr w:val="none" w:sz="0" w:space="0" w:color="auto" w:frame="1"/>
          </w:rPr>
          <w:t>117</w:t>
        </w:r>
      </w:hyperlink>
      <w:r w:rsidRPr="00CA1BC1">
        <w:rPr>
          <w:rFonts w:eastAsia="Times New Roman" w:cs="Times New Roman"/>
          <w:szCs w:val="24"/>
        </w:rPr>
        <w:t>, </w:t>
      </w:r>
      <w:hyperlink r:id="rId162" w:history="1">
        <w:r w:rsidRPr="00CA1BC1">
          <w:rPr>
            <w:rFonts w:eastAsia="Times New Roman" w:cs="Times New Roman"/>
            <w:szCs w:val="24"/>
            <w:bdr w:val="none" w:sz="0" w:space="0" w:color="auto" w:frame="1"/>
          </w:rPr>
          <w:t>131</w:t>
        </w:r>
      </w:hyperlink>
      <w:r w:rsidRPr="00CA1BC1">
        <w:rPr>
          <w:rFonts w:eastAsia="Times New Roman" w:cs="Times New Roman"/>
          <w:szCs w:val="24"/>
        </w:rPr>
        <w:t>; 2007, c. </w:t>
      </w:r>
      <w:hyperlink r:id="rId163" w:history="1">
        <w:r w:rsidRPr="00CA1BC1">
          <w:rPr>
            <w:rFonts w:eastAsia="Times New Roman" w:cs="Times New Roman"/>
            <w:szCs w:val="24"/>
            <w:bdr w:val="none" w:sz="0" w:space="0" w:color="auto" w:frame="1"/>
          </w:rPr>
          <w:t>234</w:t>
        </w:r>
      </w:hyperlink>
      <w:r w:rsidRPr="00CA1BC1">
        <w:rPr>
          <w:rFonts w:eastAsia="Times New Roman" w:cs="Times New Roman"/>
          <w:szCs w:val="24"/>
        </w:rPr>
        <w:t>; 2009, c. </w:t>
      </w:r>
      <w:hyperlink r:id="rId164" w:history="1">
        <w:r w:rsidRPr="00CA1BC1">
          <w:rPr>
            <w:rFonts w:eastAsia="Times New Roman" w:cs="Times New Roman"/>
            <w:szCs w:val="24"/>
            <w:bdr w:val="none" w:sz="0" w:space="0" w:color="auto" w:frame="1"/>
          </w:rPr>
          <w:t>825</w:t>
        </w:r>
      </w:hyperlink>
      <w:r w:rsidRPr="00CA1BC1">
        <w:rPr>
          <w:rFonts w:eastAsia="Times New Roman" w:cs="Times New Roman"/>
          <w:szCs w:val="24"/>
        </w:rPr>
        <w:t>; 2010, c. </w:t>
      </w:r>
      <w:hyperlink r:id="rId165" w:history="1">
        <w:r w:rsidRPr="00CA1BC1">
          <w:rPr>
            <w:rFonts w:eastAsia="Times New Roman" w:cs="Times New Roman"/>
            <w:szCs w:val="24"/>
            <w:bdr w:val="none" w:sz="0" w:space="0" w:color="auto" w:frame="1"/>
          </w:rPr>
          <w:t>76</w:t>
        </w:r>
      </w:hyperlink>
      <w:r w:rsidRPr="00CA1BC1">
        <w:rPr>
          <w:rFonts w:eastAsia="Times New Roman" w:cs="Times New Roman"/>
          <w:szCs w:val="24"/>
        </w:rPr>
        <w:t>; 2011, cc. </w:t>
      </w:r>
      <w:hyperlink r:id="rId166" w:history="1">
        <w:r w:rsidRPr="00CA1BC1">
          <w:rPr>
            <w:rFonts w:eastAsia="Times New Roman" w:cs="Times New Roman"/>
            <w:szCs w:val="24"/>
            <w:bdr w:val="none" w:sz="0" w:space="0" w:color="auto" w:frame="1"/>
          </w:rPr>
          <w:t>248</w:t>
        </w:r>
      </w:hyperlink>
      <w:r w:rsidRPr="00CA1BC1">
        <w:rPr>
          <w:rFonts w:eastAsia="Times New Roman" w:cs="Times New Roman"/>
          <w:szCs w:val="24"/>
        </w:rPr>
        <w:t>, </w:t>
      </w:r>
      <w:hyperlink r:id="rId167" w:history="1">
        <w:r w:rsidRPr="00CA1BC1">
          <w:rPr>
            <w:rFonts w:eastAsia="Times New Roman" w:cs="Times New Roman"/>
            <w:szCs w:val="24"/>
            <w:bdr w:val="none" w:sz="0" w:space="0" w:color="auto" w:frame="1"/>
          </w:rPr>
          <w:t>666</w:t>
        </w:r>
      </w:hyperlink>
      <w:r w:rsidRPr="00CA1BC1">
        <w:rPr>
          <w:rFonts w:eastAsia="Times New Roman" w:cs="Times New Roman"/>
          <w:szCs w:val="24"/>
        </w:rPr>
        <w:t>; 2012, c. </w:t>
      </w:r>
      <w:hyperlink r:id="rId168" w:history="1">
        <w:r w:rsidRPr="00CA1BC1">
          <w:rPr>
            <w:rFonts w:eastAsia="Times New Roman" w:cs="Times New Roman"/>
            <w:szCs w:val="24"/>
            <w:bdr w:val="none" w:sz="0" w:space="0" w:color="auto" w:frame="1"/>
          </w:rPr>
          <w:t>183</w:t>
        </w:r>
      </w:hyperlink>
      <w:r w:rsidRPr="00CA1BC1">
        <w:rPr>
          <w:rFonts w:eastAsia="Times New Roman" w:cs="Times New Roman"/>
          <w:szCs w:val="24"/>
        </w:rPr>
        <w:t>; 2013, cc. </w:t>
      </w:r>
      <w:hyperlink r:id="rId169" w:history="1">
        <w:r w:rsidRPr="00CA1BC1">
          <w:rPr>
            <w:rFonts w:eastAsia="Times New Roman" w:cs="Times New Roman"/>
            <w:szCs w:val="24"/>
            <w:bdr w:val="none" w:sz="0" w:space="0" w:color="auto" w:frame="1"/>
          </w:rPr>
          <w:t>539</w:t>
        </w:r>
      </w:hyperlink>
      <w:r w:rsidRPr="00CA1BC1">
        <w:rPr>
          <w:rFonts w:eastAsia="Times New Roman" w:cs="Times New Roman"/>
          <w:szCs w:val="24"/>
        </w:rPr>
        <w:t>, </w:t>
      </w:r>
      <w:hyperlink r:id="rId170" w:history="1">
        <w:r w:rsidRPr="00CA1BC1">
          <w:rPr>
            <w:rFonts w:eastAsia="Times New Roman" w:cs="Times New Roman"/>
            <w:szCs w:val="24"/>
            <w:bdr w:val="none" w:sz="0" w:space="0" w:color="auto" w:frame="1"/>
          </w:rPr>
          <w:t>571</w:t>
        </w:r>
      </w:hyperlink>
      <w:r w:rsidRPr="00CA1BC1">
        <w:rPr>
          <w:rFonts w:eastAsia="Times New Roman" w:cs="Times New Roman"/>
          <w:szCs w:val="24"/>
        </w:rPr>
        <w:t>, </w:t>
      </w:r>
      <w:hyperlink r:id="rId171" w:history="1">
        <w:r w:rsidRPr="00CA1BC1">
          <w:rPr>
            <w:rFonts w:eastAsia="Times New Roman" w:cs="Times New Roman"/>
            <w:szCs w:val="24"/>
            <w:bdr w:val="none" w:sz="0" w:space="0" w:color="auto" w:frame="1"/>
          </w:rPr>
          <w:t>584</w:t>
        </w:r>
      </w:hyperlink>
      <w:r w:rsidRPr="00CA1BC1">
        <w:rPr>
          <w:rFonts w:eastAsia="Times New Roman" w:cs="Times New Roman"/>
          <w:szCs w:val="24"/>
        </w:rPr>
        <w:t>, </w:t>
      </w:r>
      <w:hyperlink r:id="rId172" w:history="1">
        <w:r w:rsidRPr="00CA1BC1">
          <w:rPr>
            <w:rFonts w:eastAsia="Times New Roman" w:cs="Times New Roman"/>
            <w:szCs w:val="24"/>
            <w:bdr w:val="none" w:sz="0" w:space="0" w:color="auto" w:frame="1"/>
          </w:rPr>
          <w:t>728</w:t>
        </w:r>
      </w:hyperlink>
      <w:r w:rsidRPr="00CA1BC1">
        <w:rPr>
          <w:rFonts w:eastAsia="Times New Roman" w:cs="Times New Roman"/>
          <w:szCs w:val="24"/>
        </w:rPr>
        <w:t>; 2014, cc. </w:t>
      </w:r>
      <w:hyperlink r:id="rId173" w:history="1">
        <w:r w:rsidRPr="00CA1BC1">
          <w:rPr>
            <w:rFonts w:eastAsia="Times New Roman" w:cs="Times New Roman"/>
            <w:szCs w:val="24"/>
            <w:bdr w:val="none" w:sz="0" w:space="0" w:color="auto" w:frame="1"/>
          </w:rPr>
          <w:t>84</w:t>
        </w:r>
      </w:hyperlink>
      <w:r w:rsidRPr="00CA1BC1">
        <w:rPr>
          <w:rFonts w:eastAsia="Times New Roman" w:cs="Times New Roman"/>
          <w:szCs w:val="24"/>
        </w:rPr>
        <w:t>, </w:t>
      </w:r>
      <w:hyperlink r:id="rId174" w:history="1">
        <w:r w:rsidRPr="00CA1BC1">
          <w:rPr>
            <w:rFonts w:eastAsia="Times New Roman" w:cs="Times New Roman"/>
            <w:szCs w:val="24"/>
            <w:bdr w:val="none" w:sz="0" w:space="0" w:color="auto" w:frame="1"/>
          </w:rPr>
          <w:t>585</w:t>
        </w:r>
      </w:hyperlink>
      <w:r w:rsidRPr="00CA1BC1">
        <w:rPr>
          <w:rFonts w:eastAsia="Times New Roman" w:cs="Times New Roman"/>
          <w:szCs w:val="24"/>
        </w:rPr>
        <w:t>, </w:t>
      </w:r>
      <w:hyperlink r:id="rId175" w:history="1">
        <w:r w:rsidRPr="00CA1BC1">
          <w:rPr>
            <w:rFonts w:eastAsia="Times New Roman" w:cs="Times New Roman"/>
            <w:szCs w:val="24"/>
            <w:bdr w:val="none" w:sz="0" w:space="0" w:color="auto" w:frame="1"/>
          </w:rPr>
          <w:t>622</w:t>
        </w:r>
      </w:hyperlink>
      <w:r w:rsidRPr="00CA1BC1">
        <w:rPr>
          <w:rFonts w:eastAsia="Times New Roman" w:cs="Times New Roman"/>
          <w:szCs w:val="24"/>
        </w:rPr>
        <w:t>; 2015, cc. </w:t>
      </w:r>
      <w:hyperlink r:id="rId176" w:history="1">
        <w:r w:rsidRPr="00CA1BC1">
          <w:rPr>
            <w:rFonts w:eastAsia="Times New Roman" w:cs="Times New Roman"/>
            <w:szCs w:val="24"/>
            <w:bdr w:val="none" w:sz="0" w:space="0" w:color="auto" w:frame="1"/>
          </w:rPr>
          <w:t>145</w:t>
        </w:r>
      </w:hyperlink>
      <w:r w:rsidRPr="00CA1BC1">
        <w:rPr>
          <w:rFonts w:eastAsia="Times New Roman" w:cs="Times New Roman"/>
          <w:szCs w:val="24"/>
        </w:rPr>
        <w:t>, </w:t>
      </w:r>
      <w:hyperlink r:id="rId177" w:history="1">
        <w:r w:rsidRPr="00CA1BC1">
          <w:rPr>
            <w:rFonts w:eastAsia="Times New Roman" w:cs="Times New Roman"/>
            <w:szCs w:val="24"/>
            <w:bdr w:val="none" w:sz="0" w:space="0" w:color="auto" w:frame="1"/>
          </w:rPr>
          <w:t>149</w:t>
        </w:r>
      </w:hyperlink>
      <w:r w:rsidRPr="00CA1BC1">
        <w:rPr>
          <w:rFonts w:eastAsia="Times New Roman" w:cs="Times New Roman"/>
          <w:szCs w:val="24"/>
        </w:rPr>
        <w:t>, </w:t>
      </w:r>
      <w:hyperlink r:id="rId178" w:history="1">
        <w:r w:rsidRPr="00CA1BC1">
          <w:rPr>
            <w:rFonts w:eastAsia="Times New Roman" w:cs="Times New Roman"/>
            <w:szCs w:val="24"/>
            <w:bdr w:val="none" w:sz="0" w:space="0" w:color="auto" w:frame="1"/>
          </w:rPr>
          <w:t>322</w:t>
        </w:r>
      </w:hyperlink>
      <w:r w:rsidRPr="00CA1BC1">
        <w:rPr>
          <w:rFonts w:eastAsia="Times New Roman" w:cs="Times New Roman"/>
          <w:szCs w:val="24"/>
        </w:rPr>
        <w:t>, </w:t>
      </w:r>
      <w:hyperlink r:id="rId179" w:history="1">
        <w:r w:rsidRPr="00CA1BC1">
          <w:rPr>
            <w:rFonts w:eastAsia="Times New Roman" w:cs="Times New Roman"/>
            <w:szCs w:val="24"/>
            <w:bdr w:val="none" w:sz="0" w:space="0" w:color="auto" w:frame="1"/>
          </w:rPr>
          <w:t>323</w:t>
        </w:r>
      </w:hyperlink>
      <w:r w:rsidRPr="00CA1BC1">
        <w:rPr>
          <w:rFonts w:eastAsia="Times New Roman" w:cs="Times New Roman"/>
          <w:szCs w:val="24"/>
        </w:rPr>
        <w:t>, </w:t>
      </w:r>
      <w:hyperlink r:id="rId180" w:history="1">
        <w:r w:rsidRPr="00CA1BC1">
          <w:rPr>
            <w:rFonts w:eastAsia="Times New Roman" w:cs="Times New Roman"/>
            <w:szCs w:val="24"/>
            <w:bdr w:val="none" w:sz="0" w:space="0" w:color="auto" w:frame="1"/>
          </w:rPr>
          <w:t>558</w:t>
        </w:r>
      </w:hyperlink>
      <w:r w:rsidRPr="00CA1BC1">
        <w:rPr>
          <w:rFonts w:eastAsia="Times New Roman" w:cs="Times New Roman"/>
          <w:szCs w:val="24"/>
        </w:rPr>
        <w:t>, </w:t>
      </w:r>
      <w:hyperlink r:id="rId181" w:history="1">
        <w:r w:rsidRPr="00CA1BC1">
          <w:rPr>
            <w:rFonts w:eastAsia="Times New Roman" w:cs="Times New Roman"/>
            <w:szCs w:val="24"/>
            <w:bdr w:val="none" w:sz="0" w:space="0" w:color="auto" w:frame="1"/>
          </w:rPr>
          <w:t>566</w:t>
        </w:r>
      </w:hyperlink>
      <w:r w:rsidRPr="00CA1BC1">
        <w:rPr>
          <w:rFonts w:eastAsia="Times New Roman" w:cs="Times New Roman"/>
          <w:szCs w:val="24"/>
        </w:rPr>
        <w:t>; 2016, cc. </w:t>
      </w:r>
      <w:hyperlink r:id="rId182" w:history="1">
        <w:r w:rsidRPr="00CA1BC1">
          <w:rPr>
            <w:rFonts w:eastAsia="Times New Roman" w:cs="Times New Roman"/>
            <w:szCs w:val="24"/>
            <w:bdr w:val="none" w:sz="0" w:space="0" w:color="auto" w:frame="1"/>
          </w:rPr>
          <w:t>386</w:t>
        </w:r>
      </w:hyperlink>
      <w:r w:rsidRPr="00CA1BC1">
        <w:rPr>
          <w:rFonts w:eastAsia="Times New Roman" w:cs="Times New Roman"/>
          <w:szCs w:val="24"/>
        </w:rPr>
        <w:t>, </w:t>
      </w:r>
      <w:hyperlink r:id="rId183" w:history="1">
        <w:r w:rsidRPr="00CA1BC1">
          <w:rPr>
            <w:rFonts w:eastAsia="Times New Roman" w:cs="Times New Roman"/>
            <w:szCs w:val="24"/>
            <w:bdr w:val="none" w:sz="0" w:space="0" w:color="auto" w:frame="1"/>
          </w:rPr>
          <w:t>387</w:t>
        </w:r>
      </w:hyperlink>
      <w:r w:rsidRPr="00CA1BC1">
        <w:rPr>
          <w:rFonts w:eastAsia="Times New Roman" w:cs="Times New Roman"/>
          <w:szCs w:val="24"/>
        </w:rPr>
        <w:t>, </w:t>
      </w:r>
      <w:hyperlink r:id="rId184" w:history="1">
        <w:r w:rsidRPr="00CA1BC1">
          <w:rPr>
            <w:rFonts w:eastAsia="Times New Roman" w:cs="Times New Roman"/>
            <w:szCs w:val="24"/>
            <w:bdr w:val="none" w:sz="0" w:space="0" w:color="auto" w:frame="1"/>
          </w:rPr>
          <w:t>502</w:t>
        </w:r>
      </w:hyperlink>
      <w:r w:rsidRPr="00CA1BC1">
        <w:rPr>
          <w:rFonts w:eastAsia="Times New Roman" w:cs="Times New Roman"/>
          <w:szCs w:val="24"/>
        </w:rPr>
        <w:t>, </w:t>
      </w:r>
      <w:hyperlink r:id="rId185" w:history="1">
        <w:r w:rsidRPr="00CA1BC1">
          <w:rPr>
            <w:rFonts w:eastAsia="Times New Roman" w:cs="Times New Roman"/>
            <w:szCs w:val="24"/>
            <w:bdr w:val="none" w:sz="0" w:space="0" w:color="auto" w:frame="1"/>
          </w:rPr>
          <w:t>522</w:t>
        </w:r>
      </w:hyperlink>
      <w:r w:rsidRPr="00CA1BC1">
        <w:rPr>
          <w:rFonts w:eastAsia="Times New Roman" w:cs="Times New Roman"/>
          <w:szCs w:val="24"/>
        </w:rPr>
        <w:t>, </w:t>
      </w:r>
      <w:hyperlink r:id="rId186" w:history="1">
        <w:r w:rsidRPr="00CA1BC1">
          <w:rPr>
            <w:rFonts w:eastAsia="Times New Roman" w:cs="Times New Roman"/>
            <w:szCs w:val="24"/>
            <w:bdr w:val="none" w:sz="0" w:space="0" w:color="auto" w:frame="1"/>
          </w:rPr>
          <w:t>720</w:t>
        </w:r>
      </w:hyperlink>
      <w:r w:rsidRPr="00CA1BC1">
        <w:rPr>
          <w:rFonts w:eastAsia="Times New Roman" w:cs="Times New Roman"/>
          <w:szCs w:val="24"/>
        </w:rPr>
        <w:t>, </w:t>
      </w:r>
      <w:hyperlink r:id="rId187" w:history="1">
        <w:r w:rsidRPr="00CA1BC1">
          <w:rPr>
            <w:rFonts w:eastAsia="Times New Roman" w:cs="Times New Roman"/>
            <w:szCs w:val="24"/>
            <w:bdr w:val="none" w:sz="0" w:space="0" w:color="auto" w:frame="1"/>
          </w:rPr>
          <w:t>750</w:t>
        </w:r>
      </w:hyperlink>
      <w:r w:rsidRPr="00CA1BC1">
        <w:rPr>
          <w:rFonts w:eastAsia="Times New Roman" w:cs="Times New Roman"/>
          <w:szCs w:val="24"/>
        </w:rPr>
        <w:t>; 2017, cc. </w:t>
      </w:r>
      <w:hyperlink r:id="rId188" w:history="1">
        <w:r w:rsidRPr="00CA1BC1">
          <w:rPr>
            <w:rFonts w:eastAsia="Times New Roman" w:cs="Times New Roman"/>
            <w:szCs w:val="24"/>
            <w:bdr w:val="none" w:sz="0" w:space="0" w:color="auto" w:frame="1"/>
          </w:rPr>
          <w:t>328</w:t>
        </w:r>
      </w:hyperlink>
      <w:r w:rsidRPr="00CA1BC1">
        <w:rPr>
          <w:rFonts w:eastAsia="Times New Roman" w:cs="Times New Roman"/>
          <w:szCs w:val="24"/>
        </w:rPr>
        <w:t>, </w:t>
      </w:r>
      <w:hyperlink r:id="rId189" w:history="1">
        <w:r w:rsidRPr="00CA1BC1">
          <w:rPr>
            <w:rFonts w:eastAsia="Times New Roman" w:cs="Times New Roman"/>
            <w:szCs w:val="24"/>
            <w:bdr w:val="none" w:sz="0" w:space="0" w:color="auto" w:frame="1"/>
          </w:rPr>
          <w:t>778</w:t>
        </w:r>
      </w:hyperlink>
      <w:r w:rsidRPr="00CA1BC1">
        <w:rPr>
          <w:rFonts w:eastAsia="Times New Roman" w:cs="Times New Roman"/>
          <w:szCs w:val="24"/>
        </w:rPr>
        <w:t>; 2019, c. </w:t>
      </w:r>
      <w:hyperlink r:id="rId190" w:history="1">
        <w:r w:rsidRPr="00CA1BC1">
          <w:rPr>
            <w:rFonts w:eastAsia="Times New Roman" w:cs="Times New Roman"/>
            <w:szCs w:val="24"/>
            <w:bdr w:val="none" w:sz="0" w:space="0" w:color="auto" w:frame="1"/>
          </w:rPr>
          <w:t>585</w:t>
        </w:r>
      </w:hyperlink>
      <w:r w:rsidRPr="00CA1BC1">
        <w:rPr>
          <w:rFonts w:eastAsia="Times New Roman" w:cs="Times New Roman"/>
          <w:szCs w:val="24"/>
        </w:rPr>
        <w:t>.</w:t>
      </w:r>
    </w:p>
    <w:p w:rsidR="00CA1BC1" w:rsidRPr="00F3758E" w:rsidRDefault="00CA1BC1" w:rsidP="00CA1BC1">
      <w:pPr>
        <w:pStyle w:val="Heading2"/>
        <w:rPr>
          <w:rFonts w:cs="Times New Roman"/>
          <w:color w:val="auto"/>
          <w:szCs w:val="24"/>
        </w:rPr>
      </w:pPr>
      <w:r w:rsidRPr="00F3758E">
        <w:rPr>
          <w:color w:val="auto"/>
        </w:rPr>
        <w:t xml:space="preserve">§ 22.1-253.13:4. Standard </w:t>
      </w:r>
      <w:proofErr w:type="gramStart"/>
      <w:r w:rsidRPr="00F3758E">
        <w:rPr>
          <w:color w:val="auto"/>
        </w:rPr>
        <w:t>4</w:t>
      </w:r>
      <w:proofErr w:type="gramEnd"/>
      <w:r w:rsidRPr="00F3758E">
        <w:rPr>
          <w:color w:val="auto"/>
        </w:rPr>
        <w:t>. Student achievement and graduation requirements.</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A. Each local school board shall award diplomas to all secondary school students, including students who transfer from nonpublic schools or from home instruction, who meet the requirements prescribed by the Board of Education and meet such other requirements as may be prescribed by the local school board and approved by the Board of Education. Provisions shall be made to facilitate the transfer and appropriate grade placement of students from other public secondary schools, from nonpublic schools, or from home instruction as outlined in the standards for accreditation. The standards for accreditation shall include provisions relating to the completion of graduation requirements through Virtual Virginia. Further, reasonable accommodation to meet the requirements for diplomas shall be provided for otherwise qualified students with disabilities as needed.</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In addition, each local school board may devise, vis-a-vis the award of diplomas to secondary school students, a mechanism for calculating class rankings that takes into consideration whether the student has taken a required class more than one time and has had any prior earned grade for such required class expunged.</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lastRenderedPageBreak/>
        <w:t>Each local school board shall notify the parents of rising eleventh and twelfth grade students of (</w:t>
      </w:r>
      <w:proofErr w:type="spellStart"/>
      <w:r w:rsidRPr="00CA1BC1">
        <w:rPr>
          <w:rFonts w:eastAsia="Times New Roman" w:cs="Times New Roman"/>
          <w:szCs w:val="24"/>
        </w:rPr>
        <w:t>i</w:t>
      </w:r>
      <w:proofErr w:type="spellEnd"/>
      <w:r w:rsidRPr="00CA1BC1">
        <w:rPr>
          <w:rFonts w:eastAsia="Times New Roman" w:cs="Times New Roman"/>
          <w:szCs w:val="24"/>
        </w:rPr>
        <w:t>) the requirements for graduation pursuant to the standards for accreditation and (ii) the requirements that have yet to be completed by the individual student.</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B. Students identified as disabled who complete the requirements of their individualized education programs and meet certain requirements prescribed by the Board pursuant to regulations but do not meet the requirements for any named diploma shall be awarded Applied Studies diplomas by local school boards.</w:t>
      </w:r>
    </w:p>
    <w:p w:rsidR="00CA1BC1" w:rsidRPr="00CA1BC1" w:rsidRDefault="00CA1BC1" w:rsidP="00CA1BC1">
      <w:pPr>
        <w:spacing w:after="0" w:line="240" w:lineRule="auto"/>
        <w:textAlignment w:val="baseline"/>
        <w:rPr>
          <w:rFonts w:eastAsia="Times New Roman" w:cs="Times New Roman"/>
          <w:szCs w:val="24"/>
        </w:rPr>
      </w:pPr>
      <w:r w:rsidRPr="00CA1BC1">
        <w:rPr>
          <w:rFonts w:eastAsia="Times New Roman" w:cs="Times New Roman"/>
          <w:szCs w:val="24"/>
        </w:rPr>
        <w:t>Each local school board shall notify the parent of such students with disabilities who have an individualized education program and who fail to meet the graduation requirements of the student's right to a free and appropriate education to age 21, inclusive, pursuant to Article 2 (§ </w:t>
      </w:r>
      <w:hyperlink r:id="rId191" w:history="1">
        <w:r w:rsidRPr="00CA1BC1">
          <w:rPr>
            <w:rFonts w:eastAsia="Times New Roman" w:cs="Times New Roman"/>
            <w:szCs w:val="24"/>
            <w:bdr w:val="none" w:sz="0" w:space="0" w:color="auto" w:frame="1"/>
          </w:rPr>
          <w:t>22.1-213</w:t>
        </w:r>
      </w:hyperlink>
      <w:r w:rsidRPr="00CA1BC1">
        <w:rPr>
          <w:rFonts w:eastAsia="Times New Roman" w:cs="Times New Roman"/>
          <w:szCs w:val="24"/>
        </w:rPr>
        <w:t> et seq.) of Chapter 13.</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C. Students who have completed a prescribed course of study as defined by the local school board shall be awarded certificates of program completion by local school boards if they are not eligible to receive a Board of Education-approved diploma.</w:t>
      </w:r>
    </w:p>
    <w:p w:rsidR="00CA1BC1" w:rsidRPr="00CA1BC1" w:rsidRDefault="00CA1BC1" w:rsidP="00CA1BC1">
      <w:pPr>
        <w:spacing w:after="0" w:line="240" w:lineRule="auto"/>
        <w:textAlignment w:val="baseline"/>
        <w:rPr>
          <w:rFonts w:eastAsia="Times New Roman" w:cs="Times New Roman"/>
          <w:szCs w:val="24"/>
        </w:rPr>
      </w:pPr>
      <w:r w:rsidRPr="00CA1BC1">
        <w:rPr>
          <w:rFonts w:eastAsia="Times New Roman" w:cs="Times New Roman"/>
          <w:szCs w:val="24"/>
        </w:rPr>
        <w:t>Each local school board shall provide notification of the right to a free public education for students who have not reached 20 years of age on or before August 1 of the school year, pursuant to Chapter 1 (§ </w:t>
      </w:r>
      <w:hyperlink r:id="rId192" w:history="1">
        <w:r w:rsidRPr="00CA1BC1">
          <w:rPr>
            <w:rFonts w:eastAsia="Times New Roman" w:cs="Times New Roman"/>
            <w:szCs w:val="24"/>
            <w:bdr w:val="none" w:sz="0" w:space="0" w:color="auto" w:frame="1"/>
          </w:rPr>
          <w:t>22.1-1</w:t>
        </w:r>
      </w:hyperlink>
      <w:r w:rsidRPr="00CA1BC1">
        <w:rPr>
          <w:rFonts w:eastAsia="Times New Roman" w:cs="Times New Roman"/>
          <w:szCs w:val="24"/>
        </w:rPr>
        <w:t> et seq.), to the parent of students who fail to graduate or who have failed to achieve graduation requirements as provided in the standards for accreditation. If such student who does not graduate or complete such requirements is a student for whom English is a second language, the local school board shall notify the parent of the student's opportunity for a free public education in accordance with § </w:t>
      </w:r>
      <w:hyperlink r:id="rId193" w:history="1">
        <w:r w:rsidRPr="00CA1BC1">
          <w:rPr>
            <w:rFonts w:eastAsia="Times New Roman" w:cs="Times New Roman"/>
            <w:szCs w:val="24"/>
            <w:bdr w:val="none" w:sz="0" w:space="0" w:color="auto" w:frame="1"/>
          </w:rPr>
          <w:t>22.1-5</w:t>
        </w:r>
      </w:hyperlink>
      <w:r w:rsidRPr="00CA1BC1">
        <w:rPr>
          <w:rFonts w:eastAsia="Times New Roman" w:cs="Times New Roman"/>
          <w:szCs w:val="24"/>
        </w:rPr>
        <w:t>.</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D. (From Acts 2016, cc. 720 &amp; 750: The graduation requirements established by the Board of Education pursuant to the provisions of subdivisions D 1, 2, and 3 shall apply to each student who enrolls in high school as (</w:t>
      </w:r>
      <w:proofErr w:type="spellStart"/>
      <w:r w:rsidRPr="00CA1BC1">
        <w:rPr>
          <w:rFonts w:eastAsia="Times New Roman" w:cs="Times New Roman"/>
          <w:szCs w:val="24"/>
        </w:rPr>
        <w:t>i</w:t>
      </w:r>
      <w:proofErr w:type="spellEnd"/>
      <w:r w:rsidRPr="00CA1BC1">
        <w:rPr>
          <w:rFonts w:eastAsia="Times New Roman" w:cs="Times New Roman"/>
          <w:szCs w:val="24"/>
        </w:rPr>
        <w:t>) a freshman after July 1, 2018; (ii) a sophomore after July 1, 2019; (iii) a junior after July 1, 2020; or (iv) a senior after July 1, 2021) In establishing graduation requirements, the Board shall:</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1. Develop and implement, in consultation with stakeholders representing elementary and secondary education, higher education, and business and industry in the Commonwealth and including parents, policymakers, and community leaders in the Commonwealth, a Profile of a Virginia Graduate that identifies the knowledge and skills that students should attain during high school in order to be successful contributors to the economy of the Commonwealth, giving due consideration to critical thinking, creative thinking, collaboration, communication, and citizenship.</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2. Emphasize the development of core skill sets in the early years of high school.</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3. Establish multiple paths toward college and career readiness for students to follow in the later years of high school. Each such pathway shall include opportunities for internships, externships, and credentialing.</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4. Provide for the selection of integrated learning courses meeting the Standards of Learning and approved by the Board to satisfy graduation requirements, which shall include Standards of Learning testing, as necessary.</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lastRenderedPageBreak/>
        <w:t>5. Require students to complete at least one course in fine or performing arts or career and technical education, one course in United States and Virginia history, and two sequential elective courses chosen from a concentration of courses selected from a variety of options that may be planned to ensure the completion of a focused sequence of elective courses that provides a foundation for further education or training or preparation for employment.</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6. Require that students (</w:t>
      </w:r>
      <w:proofErr w:type="spellStart"/>
      <w:r w:rsidRPr="00CA1BC1">
        <w:rPr>
          <w:rFonts w:eastAsia="Times New Roman" w:cs="Times New Roman"/>
          <w:szCs w:val="24"/>
        </w:rPr>
        <w:t>i</w:t>
      </w:r>
      <w:proofErr w:type="spellEnd"/>
      <w:r w:rsidRPr="00CA1BC1">
        <w:rPr>
          <w:rFonts w:eastAsia="Times New Roman" w:cs="Times New Roman"/>
          <w:szCs w:val="24"/>
        </w:rPr>
        <w:t>) complete an Advanced Placement, honors, International Baccalaureate, or dual enrollment course; (ii) complete a high-quality work-based learning experience, as defined by the Board; or (iii) earn a career and technical education credential that has been approved by the Board, except when a career and technical education credential in a particular subject area is not readily available or appropriate or does not adequately measure student competency, in which case the student shall receive satisfactory competency-based instruction in the subject area to earn credit. The career and technical education credential, when required, could include the successful completion of an industry certification, a state licensure examination, a national occupational competency assessment, the Armed Services Vocational Aptitude Battery, or the Virginia workplace readiness skills assessment. The Department of Education shall develop, maintain, and make available to each local school board a catalogue of the testing accommodations available to English language learners for each such certification, examination, assessment, and battery. Each local school board shall develop and implement policies to require each high school principal or his designee to notify each English language learner of the availability of such testing accommodations prior to the student's participation in any such certification, examination, assessment, or battery.</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7. Beginning with first-time ninth grade students in the 2016-2017 school year, require students to be trained in emergency first aid, cardiopulmonary resuscitation, and the use of automated external defibrillators, including hands-on practice of the skills necessary to perform cardiopulmonary resuscitation.</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8. Make provision in its regulations for students with disabilities to earn a diploma.</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9. Require students to complete one virtual course, which may be a noncredit-bearing course.</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 xml:space="preserve">10. Provide that students who complete elective classes into which the Standards of Learning for any required course </w:t>
      </w:r>
      <w:proofErr w:type="gramStart"/>
      <w:r w:rsidRPr="00CA1BC1">
        <w:rPr>
          <w:rFonts w:eastAsia="Times New Roman" w:cs="Times New Roman"/>
          <w:szCs w:val="24"/>
        </w:rPr>
        <w:t>have been integrated</w:t>
      </w:r>
      <w:proofErr w:type="gramEnd"/>
      <w:r w:rsidRPr="00CA1BC1">
        <w:rPr>
          <w:rFonts w:eastAsia="Times New Roman" w:cs="Times New Roman"/>
          <w:szCs w:val="24"/>
        </w:rPr>
        <w:t xml:space="preserve"> and achieve a passing score on the relevant Standards of Learning test for the relevant required course receive credit for such elective class.</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11. Establish a procedure to facilitate the acceleration of students that allows qualified students, with the recommendation of the division superintendent, without completing the 140-hour class, to obtain credit for such class upon demonstrating mastery of the course content and objectives and receiving a passing score on the relevant Standards of Learning assessment. Nothing in this section shall preclude relevant school division personnel from enforcing compulsory attendance in public schools.</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12. Provide for the award of credit for passing scores on industry certifications, state licensure examinations, and national occupational competency assessments approved by the Board of Education.</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 xml:space="preserve">School boards shall report annually to the Board of Education the number of Board-approved industry certifications obtained, state licensure examinations passed, national occupational </w:t>
      </w:r>
      <w:r w:rsidRPr="00CA1BC1">
        <w:rPr>
          <w:rFonts w:eastAsia="Times New Roman" w:cs="Times New Roman"/>
          <w:szCs w:val="24"/>
        </w:rPr>
        <w:lastRenderedPageBreak/>
        <w:t>competency assessments passed, Armed Services Vocational Aptitude Battery assessments passed, and Virginia workplace readiness skills assessments passed, and the number of career and technical education completers who graduated. These numbers shall be reported as separate categories on the School Performance Report Card.</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For the purposes of this subdivision, "career and technical education completer" means a student who has met the requirements for a career and technical concentration or specialization and all requirements for high school graduation or an approved alternative education program.</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In addition, the Board may:</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a. For the purpose of awarding credit, approve the use of additional or substitute tests for the correlated Standards of Learning assessment, such as academic achievement tests, industry certifications or state licensure examinations; and</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 xml:space="preserve">b. Permit students completing career and technical education programs designed to enable such students to pass such industry certification examinations or state licensure examinations to be awarded, upon obtaining satisfactory scores on such industry certification or licensure examinations, appropriate credit for one or more career and technical education classes into which relevant Standards of Learning for various classes taught at the same level have been integrated. Such industry certification and state licensure examinations may cover relevant Standards of Learning for various required classes and </w:t>
      </w:r>
      <w:proofErr w:type="gramStart"/>
      <w:r w:rsidRPr="00CA1BC1">
        <w:rPr>
          <w:rFonts w:eastAsia="Times New Roman" w:cs="Times New Roman"/>
          <w:szCs w:val="24"/>
        </w:rPr>
        <w:t>may, at the discretion of the Board, address</w:t>
      </w:r>
      <w:proofErr w:type="gramEnd"/>
      <w:r w:rsidRPr="00CA1BC1">
        <w:rPr>
          <w:rFonts w:eastAsia="Times New Roman" w:cs="Times New Roman"/>
          <w:szCs w:val="24"/>
        </w:rPr>
        <w:t xml:space="preserve"> some Standards of Learning for several required classes.</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13. Provide for the waiver of certain graduation requirements (</w:t>
      </w:r>
      <w:proofErr w:type="spellStart"/>
      <w:r w:rsidRPr="00CA1BC1">
        <w:rPr>
          <w:rFonts w:eastAsia="Times New Roman" w:cs="Times New Roman"/>
          <w:szCs w:val="24"/>
        </w:rPr>
        <w:t>i</w:t>
      </w:r>
      <w:proofErr w:type="spellEnd"/>
      <w:r w:rsidRPr="00CA1BC1">
        <w:rPr>
          <w:rFonts w:eastAsia="Times New Roman" w:cs="Times New Roman"/>
          <w:szCs w:val="24"/>
        </w:rPr>
        <w:t>) upon the Board's initiative or (ii) at the request of a local school board. Such waivers shall be granted only for good cause and shall be considered on a case-by-case basis.</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 xml:space="preserve">14. Consider all </w:t>
      </w:r>
      <w:proofErr w:type="gramStart"/>
      <w:r w:rsidRPr="00CA1BC1">
        <w:rPr>
          <w:rFonts w:eastAsia="Times New Roman" w:cs="Times New Roman"/>
          <w:szCs w:val="24"/>
        </w:rPr>
        <w:t>computer science course credits</w:t>
      </w:r>
      <w:proofErr w:type="gramEnd"/>
      <w:r w:rsidRPr="00CA1BC1">
        <w:rPr>
          <w:rFonts w:eastAsia="Times New Roman" w:cs="Times New Roman"/>
          <w:szCs w:val="24"/>
        </w:rPr>
        <w:t xml:space="preserve"> earned by students to be science course credits, mathematics course credits, or career and technical education credits. The Board of Education shall develop guidelines addressing how computer science courses can satisfy graduation requirements.</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15. Permit local school divisions to waive the requirement for students to receive 140 clock hours of instruction upon providing the Board with satisfactory proof, based on Board guidelines, that the students for whom such requirements are waived have learned the content and skills included in the relevant Standards of Learning.</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16. Provide for the award of verified units of credit for a satisfactory score, as determined by the Board, on the Preliminary ACT (</w:t>
      </w:r>
      <w:proofErr w:type="spellStart"/>
      <w:r w:rsidRPr="00CA1BC1">
        <w:rPr>
          <w:rFonts w:eastAsia="Times New Roman" w:cs="Times New Roman"/>
          <w:szCs w:val="24"/>
        </w:rPr>
        <w:t>PreACT</w:t>
      </w:r>
      <w:proofErr w:type="spellEnd"/>
      <w:r w:rsidRPr="00CA1BC1">
        <w:rPr>
          <w:rFonts w:eastAsia="Times New Roman" w:cs="Times New Roman"/>
          <w:szCs w:val="24"/>
        </w:rPr>
        <w:t>) or Preliminary SAT/National Merit Scholarship Qualifying Test (PSAT/NMSQT) examination.</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17. Permit students to exceed a full course load in order to participate in courses offered by an institution of higher education that lead to a degree, certificate, or credential at such institution.</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 xml:space="preserve">18. Permit local school divisions to waive the requirement for students to receive 140 clock hours of instruction after the student has completed the course curriculum and relevant Standards of Learning end-of-course assessment, or Board-approved substitute, provided that such student </w:t>
      </w:r>
      <w:r w:rsidRPr="00CA1BC1">
        <w:rPr>
          <w:rFonts w:eastAsia="Times New Roman" w:cs="Times New Roman"/>
          <w:szCs w:val="24"/>
        </w:rPr>
        <w:lastRenderedPageBreak/>
        <w:t>subsequently receives instruction, coursework, or study toward an industry certification approved by the local school board.</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19. Permit any English language learner who previously earned a sufficient score on an Advanced Placement or International Baccalaureate foreign language examination or an SAT II Subject Test in a foreign language to substitute computer coding course credit for any foreign language course credit required to graduate, except in cases in which such foreign language course credit is required to earn an advanced diploma offered by a nationally recognized provider of college-level courses.</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20. Permit a student who is pursuing an advanced diploma and whose individualized education program specifies a credit accommodation for world language to substitute two standard units of credit in computer science for two standard units of credit in a world language. For any student that elects to substitute a credit in computer science for credit in world language, his or her school counselor must provide notice to the student and parent or guardian of possible impacts related to college entrance requirements.</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E. In the exercise of its authority to recognize exemplary performance by providing for diploma seals:</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1. The Board shall develop criteria for recognizing exemplary performance in career and technical education programs by students who have completed the requirements for a Board of Education-approved diploma and shall award seals on the diplomas of students meeting such criteria.</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2. The Board shall establish criteria for awarding a diploma seal for science, technology, engineering, and mathematics (STEM) for the Board of Education-approved diplomas. The Board shall consider including criteria for (</w:t>
      </w:r>
      <w:proofErr w:type="spellStart"/>
      <w:r w:rsidRPr="00CA1BC1">
        <w:rPr>
          <w:rFonts w:eastAsia="Times New Roman" w:cs="Times New Roman"/>
          <w:szCs w:val="24"/>
        </w:rPr>
        <w:t>i</w:t>
      </w:r>
      <w:proofErr w:type="spellEnd"/>
      <w:r w:rsidRPr="00CA1BC1">
        <w:rPr>
          <w:rFonts w:eastAsia="Times New Roman" w:cs="Times New Roman"/>
          <w:szCs w:val="24"/>
        </w:rPr>
        <w:t xml:space="preserve">) relevant coursework; (ii) technical writing, reading, and oral communication skills; (iii) relevant training; and </w:t>
      </w:r>
      <w:proofErr w:type="gramStart"/>
      <w:r w:rsidRPr="00CA1BC1">
        <w:rPr>
          <w:rFonts w:eastAsia="Times New Roman" w:cs="Times New Roman"/>
          <w:szCs w:val="24"/>
        </w:rPr>
        <w:t>(iv) industry</w:t>
      </w:r>
      <w:proofErr w:type="gramEnd"/>
      <w:r w:rsidRPr="00CA1BC1">
        <w:rPr>
          <w:rFonts w:eastAsia="Times New Roman" w:cs="Times New Roman"/>
          <w:szCs w:val="24"/>
        </w:rPr>
        <w:t>, professional, and trade association national certifications.</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3. The Board shall establish criteria for awarding a diploma seal for excellence in civics education and understanding of our state and federal constitutions and the democratic model of government for the Board of Education-approved diplomas. The Board shall consider including criteria for (</w:t>
      </w:r>
      <w:proofErr w:type="spellStart"/>
      <w:r w:rsidRPr="00CA1BC1">
        <w:rPr>
          <w:rFonts w:eastAsia="Times New Roman" w:cs="Times New Roman"/>
          <w:szCs w:val="24"/>
        </w:rPr>
        <w:t>i</w:t>
      </w:r>
      <w:proofErr w:type="spellEnd"/>
      <w:r w:rsidRPr="00CA1BC1">
        <w:rPr>
          <w:rFonts w:eastAsia="Times New Roman" w:cs="Times New Roman"/>
          <w:szCs w:val="24"/>
        </w:rPr>
        <w:t>) successful completion of history, government, and civics courses, including courses that incorporate character education; (ii) voluntary participation in community service or extracurricular activities that includes the types of activities that shall qualify as community service and the number of hours required; and (iii) related requirements as it deems appropriate.</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 xml:space="preserve">4. The Board shall establish criteria for awarding a diploma seal of </w:t>
      </w:r>
      <w:proofErr w:type="spellStart"/>
      <w:r w:rsidRPr="00CA1BC1">
        <w:rPr>
          <w:rFonts w:eastAsia="Times New Roman" w:cs="Times New Roman"/>
          <w:szCs w:val="24"/>
        </w:rPr>
        <w:t>biliteracy</w:t>
      </w:r>
      <w:proofErr w:type="spellEnd"/>
      <w:r w:rsidRPr="00CA1BC1">
        <w:rPr>
          <w:rFonts w:eastAsia="Times New Roman" w:cs="Times New Roman"/>
          <w:szCs w:val="24"/>
        </w:rPr>
        <w:t xml:space="preserve"> to any student who demonstrates proficiency in English and at least one other language for the Board of Education-approved diplomas. The Board shall consider criteria including the student's (</w:t>
      </w:r>
      <w:proofErr w:type="spellStart"/>
      <w:r w:rsidRPr="00CA1BC1">
        <w:rPr>
          <w:rFonts w:eastAsia="Times New Roman" w:cs="Times New Roman"/>
          <w:szCs w:val="24"/>
        </w:rPr>
        <w:t>i</w:t>
      </w:r>
      <w:proofErr w:type="spellEnd"/>
      <w:r w:rsidRPr="00CA1BC1">
        <w:rPr>
          <w:rFonts w:eastAsia="Times New Roman" w:cs="Times New Roman"/>
          <w:szCs w:val="24"/>
        </w:rPr>
        <w:t>) score on a College Board Advanced Placement foreign language examination, (ii) score on an SAT II Subject Test in a foreign language, (iii) proficiency level on an ACTFL Assessment of Performance toward Proficiency in Languages (AAPPL) measure or another nationally or internationally recognized language proficiency test, or (iv) cumulative grade point average in a sequence of foreign language courses approved by the Board.</w:t>
      </w:r>
    </w:p>
    <w:p w:rsidR="00CA1BC1" w:rsidRPr="00CA1BC1" w:rsidRDefault="00CA1BC1" w:rsidP="00CA1BC1">
      <w:pPr>
        <w:spacing w:after="0" w:line="240" w:lineRule="auto"/>
        <w:textAlignment w:val="baseline"/>
        <w:rPr>
          <w:rFonts w:eastAsia="Times New Roman" w:cs="Times New Roman"/>
          <w:szCs w:val="24"/>
        </w:rPr>
      </w:pPr>
      <w:r w:rsidRPr="00CA1BC1">
        <w:rPr>
          <w:rFonts w:eastAsia="Times New Roman" w:cs="Times New Roman"/>
          <w:szCs w:val="24"/>
        </w:rPr>
        <w:lastRenderedPageBreak/>
        <w:t>F. The Board shall establish, by regulation, requirements for the award of a general achievement adult high school diploma for those persons who are not subject to the compulsory school attendance requirements of § </w:t>
      </w:r>
      <w:hyperlink r:id="rId194" w:history="1">
        <w:r w:rsidRPr="00CA1BC1">
          <w:rPr>
            <w:rFonts w:eastAsia="Times New Roman" w:cs="Times New Roman"/>
            <w:szCs w:val="24"/>
            <w:bdr w:val="none" w:sz="0" w:space="0" w:color="auto" w:frame="1"/>
          </w:rPr>
          <w:t>22.1-254</w:t>
        </w:r>
      </w:hyperlink>
      <w:r w:rsidRPr="00CA1BC1">
        <w:rPr>
          <w:rFonts w:eastAsia="Times New Roman" w:cs="Times New Roman"/>
          <w:szCs w:val="24"/>
        </w:rPr>
        <w:t> and have (</w:t>
      </w:r>
      <w:proofErr w:type="spellStart"/>
      <w:r w:rsidRPr="00CA1BC1">
        <w:rPr>
          <w:rFonts w:eastAsia="Times New Roman" w:cs="Times New Roman"/>
          <w:szCs w:val="24"/>
        </w:rPr>
        <w:t>i</w:t>
      </w:r>
      <w:proofErr w:type="spellEnd"/>
      <w:r w:rsidRPr="00CA1BC1">
        <w:rPr>
          <w:rFonts w:eastAsia="Times New Roman" w:cs="Times New Roman"/>
          <w:szCs w:val="24"/>
        </w:rPr>
        <w:t>) achieved a passing score on a high school equivalency examination approved by the Board of Education; (ii) successfully completed an education and training program designated by the Board of Education; (iii) earned a Board of Education-approved career and technical education credential such as the successful completion of an industry certification, a state licensure examination, a national occupational competency assessment, the Armed Services Vocational Aptitude Battery, or the Virginia workplace readiness skills assessment; and (iv) satisfied other requirements as may be established by the Board for the award of such diploma.</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G. To ensure the uniform assessment of high school graduation rates, the Board shall collect, analyze, report, and make available to the public high school graduation and dropout data using a formula prescribed by the Board.</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H. The Board shall also collect, analyze, report, and make available to the public high school graduation and dropout data using a formula that excludes any student who fails to graduate because such student is in the custody of the Department of Corrections, the Department of Juvenile Justice, or local law enforcement. For the purposes of the Standards of Accreditation, the Board shall use the graduation rate required by this subsection.</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 xml:space="preserve">I. </w:t>
      </w:r>
      <w:proofErr w:type="gramStart"/>
      <w:r w:rsidRPr="00CA1BC1">
        <w:rPr>
          <w:rFonts w:eastAsia="Times New Roman" w:cs="Times New Roman"/>
          <w:szCs w:val="24"/>
        </w:rPr>
        <w:t>The</w:t>
      </w:r>
      <w:proofErr w:type="gramEnd"/>
      <w:r w:rsidRPr="00CA1BC1">
        <w:rPr>
          <w:rFonts w:eastAsia="Times New Roman" w:cs="Times New Roman"/>
          <w:szCs w:val="24"/>
        </w:rPr>
        <w:t xml:space="preserve"> Board may promulgate such regulations as may be necessary and appropriate for the collection, analysis, and reporting of such data required by subsections G and H.</w:t>
      </w:r>
    </w:p>
    <w:p w:rsidR="00CA1BC1" w:rsidRPr="00CA1BC1" w:rsidRDefault="00CA1BC1" w:rsidP="00CA1BC1">
      <w:pPr>
        <w:spacing w:after="0" w:line="240" w:lineRule="auto"/>
        <w:textAlignment w:val="baseline"/>
        <w:rPr>
          <w:rFonts w:eastAsia="Times New Roman" w:cs="Times New Roman"/>
          <w:szCs w:val="24"/>
        </w:rPr>
      </w:pPr>
      <w:r w:rsidRPr="00CA1BC1">
        <w:rPr>
          <w:rFonts w:eastAsia="Times New Roman" w:cs="Times New Roman"/>
          <w:szCs w:val="24"/>
        </w:rPr>
        <w:t>1988, cc. 645, 682; 1990, cc. 820, 839; 1993, c. 661; 1994, cc. </w:t>
      </w:r>
      <w:hyperlink r:id="rId195" w:history="1">
        <w:r w:rsidRPr="00CA1BC1">
          <w:rPr>
            <w:rFonts w:eastAsia="Times New Roman" w:cs="Times New Roman"/>
            <w:szCs w:val="24"/>
            <w:bdr w:val="none" w:sz="0" w:space="0" w:color="auto" w:frame="1"/>
          </w:rPr>
          <w:t>618</w:t>
        </w:r>
      </w:hyperlink>
      <w:r w:rsidRPr="00CA1BC1">
        <w:rPr>
          <w:rFonts w:eastAsia="Times New Roman" w:cs="Times New Roman"/>
          <w:szCs w:val="24"/>
        </w:rPr>
        <w:t>, </w:t>
      </w:r>
      <w:hyperlink r:id="rId196" w:history="1">
        <w:r w:rsidRPr="00CA1BC1">
          <w:rPr>
            <w:rFonts w:eastAsia="Times New Roman" w:cs="Times New Roman"/>
            <w:szCs w:val="24"/>
            <w:bdr w:val="none" w:sz="0" w:space="0" w:color="auto" w:frame="1"/>
          </w:rPr>
          <w:t>790</w:t>
        </w:r>
      </w:hyperlink>
      <w:r w:rsidRPr="00CA1BC1">
        <w:rPr>
          <w:rFonts w:eastAsia="Times New Roman" w:cs="Times New Roman"/>
          <w:szCs w:val="24"/>
        </w:rPr>
        <w:t>; 1997, cc. </w:t>
      </w:r>
      <w:hyperlink r:id="rId197" w:history="1">
        <w:r w:rsidRPr="00CA1BC1">
          <w:rPr>
            <w:rFonts w:eastAsia="Times New Roman" w:cs="Times New Roman"/>
            <w:szCs w:val="24"/>
            <w:bdr w:val="none" w:sz="0" w:space="0" w:color="auto" w:frame="1"/>
          </w:rPr>
          <w:t>828</w:t>
        </w:r>
      </w:hyperlink>
      <w:r w:rsidRPr="00CA1BC1">
        <w:rPr>
          <w:rFonts w:eastAsia="Times New Roman" w:cs="Times New Roman"/>
          <w:szCs w:val="24"/>
        </w:rPr>
        <w:t>, </w:t>
      </w:r>
      <w:hyperlink r:id="rId198" w:history="1">
        <w:r w:rsidRPr="00CA1BC1">
          <w:rPr>
            <w:rFonts w:eastAsia="Times New Roman" w:cs="Times New Roman"/>
            <w:szCs w:val="24"/>
            <w:bdr w:val="none" w:sz="0" w:space="0" w:color="auto" w:frame="1"/>
          </w:rPr>
          <w:t>835</w:t>
        </w:r>
      </w:hyperlink>
      <w:r w:rsidRPr="00CA1BC1">
        <w:rPr>
          <w:rFonts w:eastAsia="Times New Roman" w:cs="Times New Roman"/>
          <w:szCs w:val="24"/>
        </w:rPr>
        <w:t>; 1998, cc. </w:t>
      </w:r>
      <w:hyperlink r:id="rId199" w:history="1">
        <w:r w:rsidRPr="00CA1BC1">
          <w:rPr>
            <w:rFonts w:eastAsia="Times New Roman" w:cs="Times New Roman"/>
            <w:szCs w:val="24"/>
            <w:bdr w:val="none" w:sz="0" w:space="0" w:color="auto" w:frame="1"/>
          </w:rPr>
          <w:t>72</w:t>
        </w:r>
      </w:hyperlink>
      <w:r w:rsidRPr="00CA1BC1">
        <w:rPr>
          <w:rFonts w:eastAsia="Times New Roman" w:cs="Times New Roman"/>
          <w:szCs w:val="24"/>
        </w:rPr>
        <w:t>, </w:t>
      </w:r>
      <w:hyperlink r:id="rId200" w:history="1">
        <w:r w:rsidRPr="00CA1BC1">
          <w:rPr>
            <w:rFonts w:eastAsia="Times New Roman" w:cs="Times New Roman"/>
            <w:szCs w:val="24"/>
            <w:bdr w:val="none" w:sz="0" w:space="0" w:color="auto" w:frame="1"/>
          </w:rPr>
          <w:t>602</w:t>
        </w:r>
      </w:hyperlink>
      <w:r w:rsidRPr="00CA1BC1">
        <w:rPr>
          <w:rFonts w:eastAsia="Times New Roman" w:cs="Times New Roman"/>
          <w:szCs w:val="24"/>
        </w:rPr>
        <w:t>, </w:t>
      </w:r>
      <w:hyperlink r:id="rId201" w:history="1">
        <w:r w:rsidRPr="00CA1BC1">
          <w:rPr>
            <w:rFonts w:eastAsia="Times New Roman" w:cs="Times New Roman"/>
            <w:szCs w:val="24"/>
            <w:bdr w:val="none" w:sz="0" w:space="0" w:color="auto" w:frame="1"/>
          </w:rPr>
          <w:t>627</w:t>
        </w:r>
      </w:hyperlink>
      <w:r w:rsidRPr="00CA1BC1">
        <w:rPr>
          <w:rFonts w:eastAsia="Times New Roman" w:cs="Times New Roman"/>
          <w:szCs w:val="24"/>
        </w:rPr>
        <w:t>; 2001, cc. </w:t>
      </w:r>
      <w:hyperlink r:id="rId202" w:history="1">
        <w:r w:rsidRPr="00CA1BC1">
          <w:rPr>
            <w:rFonts w:eastAsia="Times New Roman" w:cs="Times New Roman"/>
            <w:szCs w:val="24"/>
            <w:bdr w:val="none" w:sz="0" w:space="0" w:color="auto" w:frame="1"/>
          </w:rPr>
          <w:t>483</w:t>
        </w:r>
      </w:hyperlink>
      <w:r w:rsidRPr="00CA1BC1">
        <w:rPr>
          <w:rFonts w:eastAsia="Times New Roman" w:cs="Times New Roman"/>
          <w:szCs w:val="24"/>
        </w:rPr>
        <w:t>, </w:t>
      </w:r>
      <w:hyperlink r:id="rId203" w:history="1">
        <w:r w:rsidRPr="00CA1BC1">
          <w:rPr>
            <w:rFonts w:eastAsia="Times New Roman" w:cs="Times New Roman"/>
            <w:szCs w:val="24"/>
            <w:bdr w:val="none" w:sz="0" w:space="0" w:color="auto" w:frame="1"/>
          </w:rPr>
          <w:t>500</w:t>
        </w:r>
      </w:hyperlink>
      <w:r w:rsidRPr="00CA1BC1">
        <w:rPr>
          <w:rFonts w:eastAsia="Times New Roman" w:cs="Times New Roman"/>
          <w:szCs w:val="24"/>
        </w:rPr>
        <w:t>; 2003, c. </w:t>
      </w:r>
      <w:hyperlink r:id="rId204" w:history="1">
        <w:r w:rsidRPr="00CA1BC1">
          <w:rPr>
            <w:rFonts w:eastAsia="Times New Roman" w:cs="Times New Roman"/>
            <w:szCs w:val="24"/>
            <w:bdr w:val="none" w:sz="0" w:space="0" w:color="auto" w:frame="1"/>
          </w:rPr>
          <w:t>688</w:t>
        </w:r>
      </w:hyperlink>
      <w:r w:rsidRPr="00CA1BC1">
        <w:rPr>
          <w:rFonts w:eastAsia="Times New Roman" w:cs="Times New Roman"/>
          <w:szCs w:val="24"/>
        </w:rPr>
        <w:t>; 2004, cc. </w:t>
      </w:r>
      <w:hyperlink r:id="rId205" w:history="1">
        <w:r w:rsidRPr="00CA1BC1">
          <w:rPr>
            <w:rFonts w:eastAsia="Times New Roman" w:cs="Times New Roman"/>
            <w:szCs w:val="24"/>
            <w:bdr w:val="none" w:sz="0" w:space="0" w:color="auto" w:frame="1"/>
          </w:rPr>
          <w:t>509</w:t>
        </w:r>
      </w:hyperlink>
      <w:r w:rsidRPr="00CA1BC1">
        <w:rPr>
          <w:rFonts w:eastAsia="Times New Roman" w:cs="Times New Roman"/>
          <w:szCs w:val="24"/>
        </w:rPr>
        <w:t>, </w:t>
      </w:r>
      <w:hyperlink r:id="rId206" w:history="1">
        <w:r w:rsidRPr="00CA1BC1">
          <w:rPr>
            <w:rFonts w:eastAsia="Times New Roman" w:cs="Times New Roman"/>
            <w:szCs w:val="24"/>
            <w:bdr w:val="none" w:sz="0" w:space="0" w:color="auto" w:frame="1"/>
          </w:rPr>
          <w:t>939</w:t>
        </w:r>
      </w:hyperlink>
      <w:r w:rsidRPr="00CA1BC1">
        <w:rPr>
          <w:rFonts w:eastAsia="Times New Roman" w:cs="Times New Roman"/>
          <w:szCs w:val="24"/>
        </w:rPr>
        <w:t>, </w:t>
      </w:r>
      <w:hyperlink r:id="rId207" w:history="1">
        <w:r w:rsidRPr="00CA1BC1">
          <w:rPr>
            <w:rFonts w:eastAsia="Times New Roman" w:cs="Times New Roman"/>
            <w:szCs w:val="24"/>
            <w:bdr w:val="none" w:sz="0" w:space="0" w:color="auto" w:frame="1"/>
          </w:rPr>
          <w:t>955</w:t>
        </w:r>
      </w:hyperlink>
      <w:r w:rsidRPr="00CA1BC1">
        <w:rPr>
          <w:rFonts w:eastAsia="Times New Roman" w:cs="Times New Roman"/>
          <w:szCs w:val="24"/>
        </w:rPr>
        <w:t>; 2005, c. </w:t>
      </w:r>
      <w:hyperlink r:id="rId208" w:history="1">
        <w:r w:rsidRPr="00CA1BC1">
          <w:rPr>
            <w:rFonts w:eastAsia="Times New Roman" w:cs="Times New Roman"/>
            <w:szCs w:val="24"/>
            <w:bdr w:val="none" w:sz="0" w:space="0" w:color="auto" w:frame="1"/>
          </w:rPr>
          <w:t>345</w:t>
        </w:r>
      </w:hyperlink>
      <w:r w:rsidRPr="00CA1BC1">
        <w:rPr>
          <w:rFonts w:eastAsia="Times New Roman" w:cs="Times New Roman"/>
          <w:szCs w:val="24"/>
        </w:rPr>
        <w:t>; 2006, c. </w:t>
      </w:r>
      <w:hyperlink r:id="rId209" w:history="1">
        <w:r w:rsidRPr="00CA1BC1">
          <w:rPr>
            <w:rFonts w:eastAsia="Times New Roman" w:cs="Times New Roman"/>
            <w:szCs w:val="24"/>
            <w:bdr w:val="none" w:sz="0" w:space="0" w:color="auto" w:frame="1"/>
          </w:rPr>
          <w:t>584</w:t>
        </w:r>
      </w:hyperlink>
      <w:r w:rsidRPr="00CA1BC1">
        <w:rPr>
          <w:rFonts w:eastAsia="Times New Roman" w:cs="Times New Roman"/>
          <w:szCs w:val="24"/>
        </w:rPr>
        <w:t>; 2007, cc. </w:t>
      </w:r>
      <w:hyperlink r:id="rId210" w:history="1">
        <w:r w:rsidRPr="00CA1BC1">
          <w:rPr>
            <w:rFonts w:eastAsia="Times New Roman" w:cs="Times New Roman"/>
            <w:szCs w:val="24"/>
            <w:bdr w:val="none" w:sz="0" w:space="0" w:color="auto" w:frame="1"/>
          </w:rPr>
          <w:t>34</w:t>
        </w:r>
      </w:hyperlink>
      <w:r w:rsidRPr="00CA1BC1">
        <w:rPr>
          <w:rFonts w:eastAsia="Times New Roman" w:cs="Times New Roman"/>
          <w:szCs w:val="24"/>
        </w:rPr>
        <w:t>, </w:t>
      </w:r>
      <w:hyperlink r:id="rId211" w:history="1">
        <w:r w:rsidRPr="00CA1BC1">
          <w:rPr>
            <w:rFonts w:eastAsia="Times New Roman" w:cs="Times New Roman"/>
            <w:szCs w:val="24"/>
            <w:bdr w:val="none" w:sz="0" w:space="0" w:color="auto" w:frame="1"/>
          </w:rPr>
          <w:t>56</w:t>
        </w:r>
      </w:hyperlink>
      <w:r w:rsidRPr="00CA1BC1">
        <w:rPr>
          <w:rFonts w:eastAsia="Times New Roman" w:cs="Times New Roman"/>
          <w:szCs w:val="24"/>
        </w:rPr>
        <w:t>, </w:t>
      </w:r>
      <w:hyperlink r:id="rId212" w:history="1">
        <w:r w:rsidRPr="00CA1BC1">
          <w:rPr>
            <w:rFonts w:eastAsia="Times New Roman" w:cs="Times New Roman"/>
            <w:szCs w:val="24"/>
            <w:bdr w:val="none" w:sz="0" w:space="0" w:color="auto" w:frame="1"/>
          </w:rPr>
          <w:t>234</w:t>
        </w:r>
      </w:hyperlink>
      <w:r w:rsidRPr="00CA1BC1">
        <w:rPr>
          <w:rFonts w:eastAsia="Times New Roman" w:cs="Times New Roman"/>
          <w:szCs w:val="24"/>
        </w:rPr>
        <w:t>, </w:t>
      </w:r>
      <w:hyperlink r:id="rId213" w:history="1">
        <w:r w:rsidRPr="00CA1BC1">
          <w:rPr>
            <w:rFonts w:eastAsia="Times New Roman" w:cs="Times New Roman"/>
            <w:szCs w:val="24"/>
            <w:bdr w:val="none" w:sz="0" w:space="0" w:color="auto" w:frame="1"/>
          </w:rPr>
          <w:t>351</w:t>
        </w:r>
      </w:hyperlink>
      <w:r w:rsidRPr="00CA1BC1">
        <w:rPr>
          <w:rFonts w:eastAsia="Times New Roman" w:cs="Times New Roman"/>
          <w:szCs w:val="24"/>
        </w:rPr>
        <w:t>, </w:t>
      </w:r>
      <w:hyperlink r:id="rId214" w:history="1">
        <w:r w:rsidRPr="00CA1BC1">
          <w:rPr>
            <w:rFonts w:eastAsia="Times New Roman" w:cs="Times New Roman"/>
            <w:szCs w:val="24"/>
            <w:bdr w:val="none" w:sz="0" w:space="0" w:color="auto" w:frame="1"/>
          </w:rPr>
          <w:t>859</w:t>
        </w:r>
      </w:hyperlink>
      <w:r w:rsidRPr="00CA1BC1">
        <w:rPr>
          <w:rFonts w:eastAsia="Times New Roman" w:cs="Times New Roman"/>
          <w:szCs w:val="24"/>
        </w:rPr>
        <w:t>, </w:t>
      </w:r>
      <w:hyperlink r:id="rId215" w:history="1">
        <w:r w:rsidRPr="00CA1BC1">
          <w:rPr>
            <w:rFonts w:eastAsia="Times New Roman" w:cs="Times New Roman"/>
            <w:szCs w:val="24"/>
            <w:bdr w:val="none" w:sz="0" w:space="0" w:color="auto" w:frame="1"/>
          </w:rPr>
          <w:t>919</w:t>
        </w:r>
      </w:hyperlink>
      <w:r w:rsidRPr="00CA1BC1">
        <w:rPr>
          <w:rFonts w:eastAsia="Times New Roman" w:cs="Times New Roman"/>
          <w:szCs w:val="24"/>
        </w:rPr>
        <w:t>; 2008, c. </w:t>
      </w:r>
      <w:hyperlink r:id="rId216" w:history="1">
        <w:r w:rsidRPr="00CA1BC1">
          <w:rPr>
            <w:rFonts w:eastAsia="Times New Roman" w:cs="Times New Roman"/>
            <w:szCs w:val="24"/>
            <w:bdr w:val="none" w:sz="0" w:space="0" w:color="auto" w:frame="1"/>
          </w:rPr>
          <w:t>351</w:t>
        </w:r>
      </w:hyperlink>
      <w:r w:rsidRPr="00CA1BC1">
        <w:rPr>
          <w:rFonts w:eastAsia="Times New Roman" w:cs="Times New Roman"/>
          <w:szCs w:val="24"/>
        </w:rPr>
        <w:t>; 2009, c. </w:t>
      </w:r>
      <w:hyperlink r:id="rId217" w:history="1">
        <w:r w:rsidRPr="00CA1BC1">
          <w:rPr>
            <w:rFonts w:eastAsia="Times New Roman" w:cs="Times New Roman"/>
            <w:szCs w:val="24"/>
            <w:bdr w:val="none" w:sz="0" w:space="0" w:color="auto" w:frame="1"/>
          </w:rPr>
          <w:t>490</w:t>
        </w:r>
      </w:hyperlink>
      <w:r w:rsidRPr="00CA1BC1">
        <w:rPr>
          <w:rFonts w:eastAsia="Times New Roman" w:cs="Times New Roman"/>
          <w:szCs w:val="24"/>
        </w:rPr>
        <w:t>; 2010, cc. </w:t>
      </w:r>
      <w:hyperlink r:id="rId218" w:history="1">
        <w:r w:rsidRPr="00CA1BC1">
          <w:rPr>
            <w:rFonts w:eastAsia="Times New Roman" w:cs="Times New Roman"/>
            <w:szCs w:val="24"/>
            <w:bdr w:val="none" w:sz="0" w:space="0" w:color="auto" w:frame="1"/>
          </w:rPr>
          <w:t>80</w:t>
        </w:r>
      </w:hyperlink>
      <w:r w:rsidRPr="00CA1BC1">
        <w:rPr>
          <w:rFonts w:eastAsia="Times New Roman" w:cs="Times New Roman"/>
          <w:szCs w:val="24"/>
        </w:rPr>
        <w:t>, </w:t>
      </w:r>
      <w:hyperlink r:id="rId219" w:history="1">
        <w:r w:rsidRPr="00CA1BC1">
          <w:rPr>
            <w:rFonts w:eastAsia="Times New Roman" w:cs="Times New Roman"/>
            <w:szCs w:val="24"/>
            <w:bdr w:val="none" w:sz="0" w:space="0" w:color="auto" w:frame="1"/>
          </w:rPr>
          <w:t>89</w:t>
        </w:r>
      </w:hyperlink>
      <w:r w:rsidRPr="00CA1BC1">
        <w:rPr>
          <w:rFonts w:eastAsia="Times New Roman" w:cs="Times New Roman"/>
          <w:szCs w:val="24"/>
        </w:rPr>
        <w:t>, </w:t>
      </w:r>
      <w:hyperlink r:id="rId220" w:history="1">
        <w:r w:rsidRPr="00CA1BC1">
          <w:rPr>
            <w:rFonts w:eastAsia="Times New Roman" w:cs="Times New Roman"/>
            <w:szCs w:val="24"/>
            <w:bdr w:val="none" w:sz="0" w:space="0" w:color="auto" w:frame="1"/>
          </w:rPr>
          <w:t>162</w:t>
        </w:r>
      </w:hyperlink>
      <w:r w:rsidRPr="00CA1BC1">
        <w:rPr>
          <w:rFonts w:eastAsia="Times New Roman" w:cs="Times New Roman"/>
          <w:szCs w:val="24"/>
        </w:rPr>
        <w:t>, </w:t>
      </w:r>
      <w:hyperlink r:id="rId221" w:history="1">
        <w:r w:rsidRPr="00CA1BC1">
          <w:rPr>
            <w:rFonts w:eastAsia="Times New Roman" w:cs="Times New Roman"/>
            <w:szCs w:val="24"/>
            <w:bdr w:val="none" w:sz="0" w:space="0" w:color="auto" w:frame="1"/>
          </w:rPr>
          <w:t>163</w:t>
        </w:r>
      </w:hyperlink>
      <w:r w:rsidRPr="00CA1BC1">
        <w:rPr>
          <w:rFonts w:eastAsia="Times New Roman" w:cs="Times New Roman"/>
          <w:szCs w:val="24"/>
        </w:rPr>
        <w:t>, </w:t>
      </w:r>
      <w:hyperlink r:id="rId222" w:history="1">
        <w:r w:rsidRPr="00CA1BC1">
          <w:rPr>
            <w:rFonts w:eastAsia="Times New Roman" w:cs="Times New Roman"/>
            <w:szCs w:val="24"/>
            <w:bdr w:val="none" w:sz="0" w:space="0" w:color="auto" w:frame="1"/>
          </w:rPr>
          <w:t>313</w:t>
        </w:r>
      </w:hyperlink>
      <w:r w:rsidRPr="00CA1BC1">
        <w:rPr>
          <w:rFonts w:eastAsia="Times New Roman" w:cs="Times New Roman"/>
          <w:szCs w:val="24"/>
        </w:rPr>
        <w:t>; 2011, c. </w:t>
      </w:r>
      <w:hyperlink r:id="rId223" w:history="1">
        <w:r w:rsidRPr="00CA1BC1">
          <w:rPr>
            <w:rFonts w:eastAsia="Times New Roman" w:cs="Times New Roman"/>
            <w:szCs w:val="24"/>
            <w:bdr w:val="none" w:sz="0" w:space="0" w:color="auto" w:frame="1"/>
          </w:rPr>
          <w:t>209</w:t>
        </w:r>
      </w:hyperlink>
      <w:r w:rsidRPr="00CA1BC1">
        <w:rPr>
          <w:rFonts w:eastAsia="Times New Roman" w:cs="Times New Roman"/>
          <w:szCs w:val="24"/>
        </w:rPr>
        <w:t>; 2012, cc. </w:t>
      </w:r>
      <w:hyperlink r:id="rId224" w:history="1">
        <w:r w:rsidRPr="00CA1BC1">
          <w:rPr>
            <w:rFonts w:eastAsia="Times New Roman" w:cs="Times New Roman"/>
            <w:szCs w:val="24"/>
            <w:bdr w:val="none" w:sz="0" w:space="0" w:color="auto" w:frame="1"/>
          </w:rPr>
          <w:t>454</w:t>
        </w:r>
      </w:hyperlink>
      <w:r w:rsidRPr="00CA1BC1">
        <w:rPr>
          <w:rFonts w:eastAsia="Times New Roman" w:cs="Times New Roman"/>
          <w:szCs w:val="24"/>
        </w:rPr>
        <w:t>, </w:t>
      </w:r>
      <w:hyperlink r:id="rId225" w:history="1">
        <w:r w:rsidRPr="00CA1BC1">
          <w:rPr>
            <w:rFonts w:eastAsia="Times New Roman" w:cs="Times New Roman"/>
            <w:szCs w:val="24"/>
            <w:bdr w:val="none" w:sz="0" w:space="0" w:color="auto" w:frame="1"/>
          </w:rPr>
          <w:t>642</w:t>
        </w:r>
      </w:hyperlink>
      <w:r w:rsidRPr="00CA1BC1">
        <w:rPr>
          <w:rFonts w:eastAsia="Times New Roman" w:cs="Times New Roman"/>
          <w:szCs w:val="24"/>
        </w:rPr>
        <w:t>; 2013, cc. </w:t>
      </w:r>
      <w:hyperlink r:id="rId226" w:history="1">
        <w:r w:rsidRPr="00CA1BC1">
          <w:rPr>
            <w:rFonts w:eastAsia="Times New Roman" w:cs="Times New Roman"/>
            <w:szCs w:val="24"/>
            <w:bdr w:val="none" w:sz="0" w:space="0" w:color="auto" w:frame="1"/>
          </w:rPr>
          <w:t>498</w:t>
        </w:r>
      </w:hyperlink>
      <w:r w:rsidRPr="00CA1BC1">
        <w:rPr>
          <w:rFonts w:eastAsia="Times New Roman" w:cs="Times New Roman"/>
          <w:szCs w:val="24"/>
        </w:rPr>
        <w:t>, </w:t>
      </w:r>
      <w:hyperlink r:id="rId227" w:history="1">
        <w:r w:rsidRPr="00CA1BC1">
          <w:rPr>
            <w:rFonts w:eastAsia="Times New Roman" w:cs="Times New Roman"/>
            <w:szCs w:val="24"/>
            <w:bdr w:val="none" w:sz="0" w:space="0" w:color="auto" w:frame="1"/>
          </w:rPr>
          <w:t>530</w:t>
        </w:r>
      </w:hyperlink>
      <w:r w:rsidRPr="00CA1BC1">
        <w:rPr>
          <w:rFonts w:eastAsia="Times New Roman" w:cs="Times New Roman"/>
          <w:szCs w:val="24"/>
        </w:rPr>
        <w:t>; 2014, cc. </w:t>
      </w:r>
      <w:hyperlink r:id="rId228" w:history="1">
        <w:r w:rsidRPr="00CA1BC1">
          <w:rPr>
            <w:rFonts w:eastAsia="Times New Roman" w:cs="Times New Roman"/>
            <w:szCs w:val="24"/>
            <w:bdr w:val="none" w:sz="0" w:space="0" w:color="auto" w:frame="1"/>
          </w:rPr>
          <w:t>84</w:t>
        </w:r>
      </w:hyperlink>
      <w:r w:rsidRPr="00CA1BC1">
        <w:rPr>
          <w:rFonts w:eastAsia="Times New Roman" w:cs="Times New Roman"/>
          <w:szCs w:val="24"/>
        </w:rPr>
        <w:t>, </w:t>
      </w:r>
      <w:hyperlink r:id="rId229" w:history="1">
        <w:r w:rsidRPr="00CA1BC1">
          <w:rPr>
            <w:rFonts w:eastAsia="Times New Roman" w:cs="Times New Roman"/>
            <w:szCs w:val="24"/>
            <w:bdr w:val="none" w:sz="0" w:space="0" w:color="auto" w:frame="1"/>
          </w:rPr>
          <w:t>590</w:t>
        </w:r>
      </w:hyperlink>
      <w:r w:rsidRPr="00CA1BC1">
        <w:rPr>
          <w:rFonts w:eastAsia="Times New Roman" w:cs="Times New Roman"/>
          <w:szCs w:val="24"/>
        </w:rPr>
        <w:t>; 2015, cc. </w:t>
      </w:r>
      <w:hyperlink r:id="rId230" w:history="1">
        <w:r w:rsidRPr="00CA1BC1">
          <w:rPr>
            <w:rFonts w:eastAsia="Times New Roman" w:cs="Times New Roman"/>
            <w:szCs w:val="24"/>
            <w:bdr w:val="none" w:sz="0" w:space="0" w:color="auto" w:frame="1"/>
          </w:rPr>
          <w:t>329</w:t>
        </w:r>
      </w:hyperlink>
      <w:r w:rsidRPr="00CA1BC1">
        <w:rPr>
          <w:rFonts w:eastAsia="Times New Roman" w:cs="Times New Roman"/>
          <w:szCs w:val="24"/>
        </w:rPr>
        <w:t>, </w:t>
      </w:r>
      <w:hyperlink r:id="rId231" w:history="1">
        <w:r w:rsidRPr="00CA1BC1">
          <w:rPr>
            <w:rFonts w:eastAsia="Times New Roman" w:cs="Times New Roman"/>
            <w:szCs w:val="24"/>
            <w:bdr w:val="none" w:sz="0" w:space="0" w:color="auto" w:frame="1"/>
          </w:rPr>
          <w:t>564</w:t>
        </w:r>
      </w:hyperlink>
      <w:r w:rsidRPr="00CA1BC1">
        <w:rPr>
          <w:rFonts w:eastAsia="Times New Roman" w:cs="Times New Roman"/>
          <w:szCs w:val="24"/>
        </w:rPr>
        <w:t>, </w:t>
      </w:r>
      <w:hyperlink r:id="rId232" w:history="1">
        <w:r w:rsidRPr="00CA1BC1">
          <w:rPr>
            <w:rFonts w:eastAsia="Times New Roman" w:cs="Times New Roman"/>
            <w:szCs w:val="24"/>
            <w:bdr w:val="none" w:sz="0" w:space="0" w:color="auto" w:frame="1"/>
          </w:rPr>
          <w:t>565</w:t>
        </w:r>
      </w:hyperlink>
      <w:r w:rsidRPr="00CA1BC1">
        <w:rPr>
          <w:rFonts w:eastAsia="Times New Roman" w:cs="Times New Roman"/>
          <w:szCs w:val="24"/>
        </w:rPr>
        <w:t>, </w:t>
      </w:r>
      <w:hyperlink r:id="rId233" w:history="1">
        <w:r w:rsidRPr="00CA1BC1">
          <w:rPr>
            <w:rFonts w:eastAsia="Times New Roman" w:cs="Times New Roman"/>
            <w:szCs w:val="24"/>
            <w:bdr w:val="none" w:sz="0" w:space="0" w:color="auto" w:frame="1"/>
          </w:rPr>
          <w:t>591</w:t>
        </w:r>
      </w:hyperlink>
      <w:r w:rsidRPr="00CA1BC1">
        <w:rPr>
          <w:rFonts w:eastAsia="Times New Roman" w:cs="Times New Roman"/>
          <w:szCs w:val="24"/>
        </w:rPr>
        <w:t>, </w:t>
      </w:r>
      <w:hyperlink r:id="rId234" w:history="1">
        <w:r w:rsidRPr="00CA1BC1">
          <w:rPr>
            <w:rFonts w:eastAsia="Times New Roman" w:cs="Times New Roman"/>
            <w:szCs w:val="24"/>
            <w:bdr w:val="none" w:sz="0" w:space="0" w:color="auto" w:frame="1"/>
          </w:rPr>
          <w:t>701</w:t>
        </w:r>
      </w:hyperlink>
      <w:r w:rsidRPr="00CA1BC1">
        <w:rPr>
          <w:rFonts w:eastAsia="Times New Roman" w:cs="Times New Roman"/>
          <w:szCs w:val="24"/>
        </w:rPr>
        <w:t>, </w:t>
      </w:r>
      <w:hyperlink r:id="rId235" w:history="1">
        <w:r w:rsidRPr="00CA1BC1">
          <w:rPr>
            <w:rFonts w:eastAsia="Times New Roman" w:cs="Times New Roman"/>
            <w:szCs w:val="24"/>
            <w:bdr w:val="none" w:sz="0" w:space="0" w:color="auto" w:frame="1"/>
          </w:rPr>
          <w:t>702</w:t>
        </w:r>
      </w:hyperlink>
      <w:r w:rsidRPr="00CA1BC1">
        <w:rPr>
          <w:rFonts w:eastAsia="Times New Roman" w:cs="Times New Roman"/>
          <w:szCs w:val="24"/>
        </w:rPr>
        <w:t>, </w:t>
      </w:r>
      <w:hyperlink r:id="rId236" w:history="1">
        <w:r w:rsidRPr="00CA1BC1">
          <w:rPr>
            <w:rFonts w:eastAsia="Times New Roman" w:cs="Times New Roman"/>
            <w:szCs w:val="24"/>
            <w:bdr w:val="none" w:sz="0" w:space="0" w:color="auto" w:frame="1"/>
          </w:rPr>
          <w:t>705</w:t>
        </w:r>
      </w:hyperlink>
      <w:r w:rsidRPr="00CA1BC1">
        <w:rPr>
          <w:rFonts w:eastAsia="Times New Roman" w:cs="Times New Roman"/>
          <w:szCs w:val="24"/>
        </w:rPr>
        <w:t>; 2016, cc. </w:t>
      </w:r>
      <w:hyperlink r:id="rId237" w:history="1">
        <w:r w:rsidRPr="00CA1BC1">
          <w:rPr>
            <w:rFonts w:eastAsia="Times New Roman" w:cs="Times New Roman"/>
            <w:szCs w:val="24"/>
            <w:bdr w:val="none" w:sz="0" w:space="0" w:color="auto" w:frame="1"/>
          </w:rPr>
          <w:t>720</w:t>
        </w:r>
      </w:hyperlink>
      <w:r w:rsidRPr="00CA1BC1">
        <w:rPr>
          <w:rFonts w:eastAsia="Times New Roman" w:cs="Times New Roman"/>
          <w:szCs w:val="24"/>
        </w:rPr>
        <w:t>, </w:t>
      </w:r>
      <w:hyperlink r:id="rId238" w:history="1">
        <w:r w:rsidRPr="00CA1BC1">
          <w:rPr>
            <w:rFonts w:eastAsia="Times New Roman" w:cs="Times New Roman"/>
            <w:szCs w:val="24"/>
            <w:bdr w:val="none" w:sz="0" w:space="0" w:color="auto" w:frame="1"/>
          </w:rPr>
          <w:t>750</w:t>
        </w:r>
      </w:hyperlink>
      <w:r w:rsidRPr="00CA1BC1">
        <w:rPr>
          <w:rFonts w:eastAsia="Times New Roman" w:cs="Times New Roman"/>
          <w:szCs w:val="24"/>
        </w:rPr>
        <w:t>; 2017, cc. </w:t>
      </w:r>
      <w:hyperlink r:id="rId239" w:history="1">
        <w:r w:rsidRPr="00CA1BC1">
          <w:rPr>
            <w:rFonts w:eastAsia="Times New Roman" w:cs="Times New Roman"/>
            <w:szCs w:val="24"/>
            <w:bdr w:val="none" w:sz="0" w:space="0" w:color="auto" w:frame="1"/>
          </w:rPr>
          <w:t>330</w:t>
        </w:r>
      </w:hyperlink>
      <w:r w:rsidRPr="00CA1BC1">
        <w:rPr>
          <w:rFonts w:eastAsia="Times New Roman" w:cs="Times New Roman"/>
          <w:szCs w:val="24"/>
        </w:rPr>
        <w:t>, </w:t>
      </w:r>
      <w:hyperlink r:id="rId240" w:history="1">
        <w:r w:rsidRPr="00CA1BC1">
          <w:rPr>
            <w:rFonts w:eastAsia="Times New Roman" w:cs="Times New Roman"/>
            <w:szCs w:val="24"/>
            <w:bdr w:val="none" w:sz="0" w:space="0" w:color="auto" w:frame="1"/>
          </w:rPr>
          <w:t>685</w:t>
        </w:r>
      </w:hyperlink>
      <w:r w:rsidRPr="00CA1BC1">
        <w:rPr>
          <w:rFonts w:eastAsia="Times New Roman" w:cs="Times New Roman"/>
          <w:szCs w:val="24"/>
        </w:rPr>
        <w:t>; 2018, cc. </w:t>
      </w:r>
      <w:hyperlink r:id="rId241" w:history="1">
        <w:r w:rsidRPr="00CA1BC1">
          <w:rPr>
            <w:rFonts w:eastAsia="Times New Roman" w:cs="Times New Roman"/>
            <w:szCs w:val="24"/>
            <w:bdr w:val="none" w:sz="0" w:space="0" w:color="auto" w:frame="1"/>
          </w:rPr>
          <w:t>139</w:t>
        </w:r>
      </w:hyperlink>
      <w:r w:rsidRPr="00CA1BC1">
        <w:rPr>
          <w:rFonts w:eastAsia="Times New Roman" w:cs="Times New Roman"/>
          <w:szCs w:val="24"/>
        </w:rPr>
        <w:t>, </w:t>
      </w:r>
      <w:hyperlink r:id="rId242" w:history="1">
        <w:r w:rsidRPr="00CA1BC1">
          <w:rPr>
            <w:rFonts w:eastAsia="Times New Roman" w:cs="Times New Roman"/>
            <w:szCs w:val="24"/>
            <w:bdr w:val="none" w:sz="0" w:space="0" w:color="auto" w:frame="1"/>
          </w:rPr>
          <w:t>482</w:t>
        </w:r>
      </w:hyperlink>
      <w:r w:rsidRPr="00CA1BC1">
        <w:rPr>
          <w:rFonts w:eastAsia="Times New Roman" w:cs="Times New Roman"/>
          <w:szCs w:val="24"/>
        </w:rPr>
        <w:t>, </w:t>
      </w:r>
      <w:hyperlink r:id="rId243" w:history="1">
        <w:r w:rsidRPr="00CA1BC1">
          <w:rPr>
            <w:rFonts w:eastAsia="Times New Roman" w:cs="Times New Roman"/>
            <w:szCs w:val="24"/>
            <w:bdr w:val="none" w:sz="0" w:space="0" w:color="auto" w:frame="1"/>
          </w:rPr>
          <w:t>512</w:t>
        </w:r>
      </w:hyperlink>
      <w:r w:rsidRPr="00CA1BC1">
        <w:rPr>
          <w:rFonts w:eastAsia="Times New Roman" w:cs="Times New Roman"/>
          <w:szCs w:val="24"/>
        </w:rPr>
        <w:t>, </w:t>
      </w:r>
      <w:hyperlink r:id="rId244" w:history="1">
        <w:r w:rsidRPr="00CA1BC1">
          <w:rPr>
            <w:rFonts w:eastAsia="Times New Roman" w:cs="Times New Roman"/>
            <w:szCs w:val="24"/>
            <w:bdr w:val="none" w:sz="0" w:space="0" w:color="auto" w:frame="1"/>
          </w:rPr>
          <w:t>592</w:t>
        </w:r>
      </w:hyperlink>
      <w:r w:rsidRPr="00CA1BC1">
        <w:rPr>
          <w:rFonts w:eastAsia="Times New Roman" w:cs="Times New Roman"/>
          <w:szCs w:val="24"/>
        </w:rPr>
        <w:t>, </w:t>
      </w:r>
      <w:hyperlink r:id="rId245" w:history="1">
        <w:r w:rsidRPr="00CA1BC1">
          <w:rPr>
            <w:rFonts w:eastAsia="Times New Roman" w:cs="Times New Roman"/>
            <w:szCs w:val="24"/>
            <w:bdr w:val="none" w:sz="0" w:space="0" w:color="auto" w:frame="1"/>
          </w:rPr>
          <w:t>716</w:t>
        </w:r>
      </w:hyperlink>
      <w:r w:rsidRPr="00CA1BC1">
        <w:rPr>
          <w:rFonts w:eastAsia="Times New Roman" w:cs="Times New Roman"/>
          <w:szCs w:val="24"/>
        </w:rPr>
        <w:t>; 2020, cc. </w:t>
      </w:r>
      <w:hyperlink r:id="rId246" w:history="1">
        <w:r w:rsidRPr="00CA1BC1">
          <w:rPr>
            <w:rFonts w:eastAsia="Times New Roman" w:cs="Times New Roman"/>
            <w:szCs w:val="24"/>
            <w:bdr w:val="none" w:sz="0" w:space="0" w:color="auto" w:frame="1"/>
          </w:rPr>
          <w:t>55</w:t>
        </w:r>
      </w:hyperlink>
      <w:r w:rsidRPr="00CA1BC1">
        <w:rPr>
          <w:rFonts w:eastAsia="Times New Roman" w:cs="Times New Roman"/>
          <w:szCs w:val="24"/>
        </w:rPr>
        <w:t>, </w:t>
      </w:r>
      <w:hyperlink r:id="rId247" w:history="1">
        <w:r w:rsidRPr="00CA1BC1">
          <w:rPr>
            <w:rFonts w:eastAsia="Times New Roman" w:cs="Times New Roman"/>
            <w:szCs w:val="24"/>
            <w:bdr w:val="none" w:sz="0" w:space="0" w:color="auto" w:frame="1"/>
          </w:rPr>
          <w:t>580</w:t>
        </w:r>
      </w:hyperlink>
      <w:r w:rsidRPr="00CA1BC1">
        <w:rPr>
          <w:rFonts w:eastAsia="Times New Roman" w:cs="Times New Roman"/>
          <w:szCs w:val="24"/>
        </w:rPr>
        <w:t>, </w:t>
      </w:r>
      <w:hyperlink r:id="rId248" w:history="1">
        <w:r w:rsidRPr="00CA1BC1">
          <w:rPr>
            <w:rFonts w:eastAsia="Times New Roman" w:cs="Times New Roman"/>
            <w:szCs w:val="24"/>
            <w:bdr w:val="none" w:sz="0" w:space="0" w:color="auto" w:frame="1"/>
          </w:rPr>
          <w:t>874</w:t>
        </w:r>
      </w:hyperlink>
      <w:r w:rsidRPr="00CA1BC1">
        <w:rPr>
          <w:rFonts w:eastAsia="Times New Roman" w:cs="Times New Roman"/>
          <w:szCs w:val="24"/>
        </w:rPr>
        <w:t>.</w:t>
      </w:r>
    </w:p>
    <w:p w:rsidR="00CA1BC1" w:rsidRPr="00F3758E" w:rsidRDefault="00CA1BC1" w:rsidP="00CA1BC1">
      <w:pPr>
        <w:pStyle w:val="Heading2"/>
        <w:rPr>
          <w:rFonts w:cs="Times New Roman"/>
          <w:color w:val="auto"/>
          <w:szCs w:val="24"/>
        </w:rPr>
      </w:pPr>
      <w:r w:rsidRPr="00F3758E">
        <w:rPr>
          <w:color w:val="auto"/>
        </w:rPr>
        <w:t xml:space="preserve">§ 22.1-253.13:5. Standard </w:t>
      </w:r>
      <w:proofErr w:type="gramStart"/>
      <w:r w:rsidRPr="00F3758E">
        <w:rPr>
          <w:color w:val="auto"/>
        </w:rPr>
        <w:t>5</w:t>
      </w:r>
      <w:proofErr w:type="gramEnd"/>
      <w:r w:rsidRPr="00F3758E">
        <w:rPr>
          <w:color w:val="auto"/>
        </w:rPr>
        <w:t>. Quality of classroom instruction and educational leadership.</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A. Each member of the Board of Education shall participate in high-quality professional development programs on personnel, curriculum and current issues in education as part of his service on the Board.</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B. Consistent with the finding that leadership is essential for the advancement of public education in the Commonwealth, teacher, principal, and superintendent evaluations shall be consistent with the performance standards included in the Guidelines for Uniform Performance Standards and Evaluation Criteria for Teachers, Principals, and Superintendents. Evaluations shall include student academic progress as a significant component and an overall summative rating. Teacher evaluations shall include regular observation and evidence that instruction is aligned with the school's curriculum. Evaluations shall include identification of areas of individual strengths and weaknesses and recommendations for appropriate professional activities.</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lastRenderedPageBreak/>
        <w:t>C. The Board of Education shall provide guidance on high-quality professional development for (</w:t>
      </w:r>
      <w:proofErr w:type="spellStart"/>
      <w:r w:rsidRPr="00CA1BC1">
        <w:rPr>
          <w:rFonts w:eastAsia="Times New Roman" w:cs="Times New Roman"/>
          <w:szCs w:val="24"/>
        </w:rPr>
        <w:t>i</w:t>
      </w:r>
      <w:proofErr w:type="spellEnd"/>
      <w:r w:rsidRPr="00CA1BC1">
        <w:rPr>
          <w:rFonts w:eastAsia="Times New Roman" w:cs="Times New Roman"/>
          <w:szCs w:val="24"/>
        </w:rPr>
        <w:t>) teachers, principals, supervisors, division superintendents, and other school staff; (ii) principals, supervisors, and division superintendents in the evaluation and documentation of teacher and principal performance based on student academic progress and the skills and knowledge of such instructional or administrative personnel; (iii) school board members on personnel, curriculum and current issues in education; and (iv) programs in Braille for teachers of the blind and visually impaired, in cooperation with the Virginia Department for the Blind and Vision Impaired.</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The Board shall also provide technical assistance on high-quality professional development to local school boards designed to ensure that all instructional personnel are proficient in the use of educational technology consistent with its comprehensive plan for educational technology.</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D. Each local school board shall require (</w:t>
      </w:r>
      <w:proofErr w:type="spellStart"/>
      <w:r w:rsidRPr="00CA1BC1">
        <w:rPr>
          <w:rFonts w:eastAsia="Times New Roman" w:cs="Times New Roman"/>
          <w:szCs w:val="24"/>
        </w:rPr>
        <w:t>i</w:t>
      </w:r>
      <w:proofErr w:type="spellEnd"/>
      <w:r w:rsidRPr="00CA1BC1">
        <w:rPr>
          <w:rFonts w:eastAsia="Times New Roman" w:cs="Times New Roman"/>
          <w:szCs w:val="24"/>
        </w:rPr>
        <w:t>) its members to participate annually in high-quality professional development activities at the state, local, or national levels on governance, including, but not limited to, personnel policies and practices; the evaluation of personnel, curriculum, and instruction; use of data in planning and decision making; and current issues in education as part of their service on the local board and (ii) the division superintendent to participate annually in high-quality professional development activities at the local, state, or national levels, including the Standards of Quality, Board of Education regulations, and the Guidelines for Uniform Performance Standards and Evaluation Criteria for Teachers, Principals, and Superintendents.</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E. Each local school board shall provide a program of high-quality professional development (</w:t>
      </w:r>
      <w:proofErr w:type="spellStart"/>
      <w:r w:rsidRPr="00CA1BC1">
        <w:rPr>
          <w:rFonts w:eastAsia="Times New Roman" w:cs="Times New Roman"/>
          <w:szCs w:val="24"/>
        </w:rPr>
        <w:t>i</w:t>
      </w:r>
      <w:proofErr w:type="spellEnd"/>
      <w:r w:rsidRPr="00CA1BC1">
        <w:rPr>
          <w:rFonts w:eastAsia="Times New Roman" w:cs="Times New Roman"/>
          <w:szCs w:val="24"/>
        </w:rPr>
        <w:t>) in the use and documentation of performance standards and evaluation criteria based on student academic progress and skills for teachers, principals, and superintendents to clarify roles and performance expectations and to facilitate the successful implementation of instructional programs that promote student achievement at the school and classroom levels; (ii) as part of the license renewal process, to assist teachers and principals in acquiring the skills needed to work with gifted students, students with disabilities, and students who have been identified as having limited English proficiency and to increase student achievement and expand the knowledge and skills students require to meet the standards for academic performance set by the Board of Education; (iii) in educational technology for all instructional personnel which is designed to facilitate integration of computer skills and related technology into the curricula; and (iv) for principals and supervisors designed to increase proficiency in instructional leadership and management, including training in the evaluation and documentation of teacher and principal performance based on student academic progress and the skills and knowledge of such instructional or administrative personnel.</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In addition, each local school board shall also provide teachers and principals with high-quality professional development programs each year in (a) instructional content; (b) the preparation of tests and other assessment measures; (c) methods for assessing the progress of individual students, including Standards of Learning assessment materials or other criterion-referenced tests that match locally developed objectives; (d) instruction and remediation techniques in English, mathematics, science, and history and social science; (e) interpreting test data for instructional purposes; (f) technology applications to implement the Standards of Learning; and (g) effective classroom management.</w:t>
      </w:r>
    </w:p>
    <w:p w:rsidR="00CA1BC1" w:rsidRPr="00CA1BC1" w:rsidRDefault="00CA1BC1" w:rsidP="00CA1BC1">
      <w:pPr>
        <w:spacing w:after="0" w:line="240" w:lineRule="auto"/>
        <w:textAlignment w:val="baseline"/>
        <w:rPr>
          <w:rFonts w:eastAsia="Times New Roman" w:cs="Times New Roman"/>
          <w:szCs w:val="24"/>
        </w:rPr>
      </w:pPr>
      <w:r w:rsidRPr="00CA1BC1">
        <w:rPr>
          <w:rFonts w:eastAsia="Times New Roman" w:cs="Times New Roman"/>
          <w:szCs w:val="24"/>
        </w:rPr>
        <w:lastRenderedPageBreak/>
        <w:t>F. Schools and school divisions shall include as an integral component of their comprehensive plans required by § </w:t>
      </w:r>
      <w:hyperlink r:id="rId249" w:history="1">
        <w:r w:rsidRPr="00CA1BC1">
          <w:rPr>
            <w:rFonts w:eastAsia="Times New Roman" w:cs="Times New Roman"/>
            <w:szCs w:val="24"/>
            <w:bdr w:val="none" w:sz="0" w:space="0" w:color="auto" w:frame="1"/>
          </w:rPr>
          <w:t>22.1-253.13:6</w:t>
        </w:r>
      </w:hyperlink>
      <w:r w:rsidRPr="00CA1BC1">
        <w:rPr>
          <w:rFonts w:eastAsia="Times New Roman" w:cs="Times New Roman"/>
          <w:szCs w:val="24"/>
        </w:rPr>
        <w:t>, high-quality professional development programs that support the recruitment, employment, and retention of qualified teachers and principals. Each school board shall require all instructional personnel to participate each year in these professional development programs.</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G. Each local school board shall annually review its professional development program for quality, effectiveness, participation by instructional personnel, and relevancy to the instructional needs of teachers and the academic achievement needs of the students in the school division.</w:t>
      </w:r>
    </w:p>
    <w:p w:rsidR="00CA1BC1" w:rsidRPr="00CA1BC1" w:rsidRDefault="00CA1BC1" w:rsidP="00CA1BC1">
      <w:pPr>
        <w:spacing w:after="0" w:line="240" w:lineRule="auto"/>
        <w:textAlignment w:val="baseline"/>
        <w:rPr>
          <w:rFonts w:eastAsia="Times New Roman" w:cs="Times New Roman"/>
          <w:szCs w:val="24"/>
        </w:rPr>
      </w:pPr>
      <w:r w:rsidRPr="00CA1BC1">
        <w:rPr>
          <w:rFonts w:eastAsia="Times New Roman" w:cs="Times New Roman"/>
          <w:szCs w:val="24"/>
        </w:rPr>
        <w:t>1988, cc. 645, 682; 1990, cc. 820, 839; 1992, c. 132; 1997, c. </w:t>
      </w:r>
      <w:hyperlink r:id="rId250" w:history="1">
        <w:r w:rsidRPr="00CA1BC1">
          <w:rPr>
            <w:rFonts w:eastAsia="Times New Roman" w:cs="Times New Roman"/>
            <w:szCs w:val="24"/>
            <w:bdr w:val="none" w:sz="0" w:space="0" w:color="auto" w:frame="1"/>
          </w:rPr>
          <w:t>827</w:t>
        </w:r>
      </w:hyperlink>
      <w:r w:rsidRPr="00CA1BC1">
        <w:rPr>
          <w:rFonts w:eastAsia="Times New Roman" w:cs="Times New Roman"/>
          <w:szCs w:val="24"/>
        </w:rPr>
        <w:t>; 1998, cc. </w:t>
      </w:r>
      <w:hyperlink r:id="rId251" w:history="1">
        <w:r w:rsidRPr="00CA1BC1">
          <w:rPr>
            <w:rFonts w:eastAsia="Times New Roman" w:cs="Times New Roman"/>
            <w:szCs w:val="24"/>
            <w:bdr w:val="none" w:sz="0" w:space="0" w:color="auto" w:frame="1"/>
          </w:rPr>
          <w:t>826</w:t>
        </w:r>
      </w:hyperlink>
      <w:r w:rsidRPr="00CA1BC1">
        <w:rPr>
          <w:rFonts w:eastAsia="Times New Roman" w:cs="Times New Roman"/>
          <w:szCs w:val="24"/>
        </w:rPr>
        <w:t>, </w:t>
      </w:r>
      <w:hyperlink r:id="rId252" w:history="1">
        <w:r w:rsidRPr="00CA1BC1">
          <w:rPr>
            <w:rFonts w:eastAsia="Times New Roman" w:cs="Times New Roman"/>
            <w:szCs w:val="24"/>
            <w:bdr w:val="none" w:sz="0" w:space="0" w:color="auto" w:frame="1"/>
          </w:rPr>
          <w:t>852</w:t>
        </w:r>
      </w:hyperlink>
      <w:r w:rsidRPr="00CA1BC1">
        <w:rPr>
          <w:rFonts w:eastAsia="Times New Roman" w:cs="Times New Roman"/>
          <w:szCs w:val="24"/>
        </w:rPr>
        <w:t>; 1999, cc. </w:t>
      </w:r>
      <w:hyperlink r:id="rId253" w:history="1">
        <w:r w:rsidRPr="00CA1BC1">
          <w:rPr>
            <w:rFonts w:eastAsia="Times New Roman" w:cs="Times New Roman"/>
            <w:szCs w:val="24"/>
            <w:bdr w:val="none" w:sz="0" w:space="0" w:color="auto" w:frame="1"/>
          </w:rPr>
          <w:t>830</w:t>
        </w:r>
      </w:hyperlink>
      <w:r w:rsidRPr="00CA1BC1">
        <w:rPr>
          <w:rFonts w:eastAsia="Times New Roman" w:cs="Times New Roman"/>
          <w:szCs w:val="24"/>
        </w:rPr>
        <w:t>, </w:t>
      </w:r>
      <w:hyperlink r:id="rId254" w:history="1">
        <w:r w:rsidRPr="00CA1BC1">
          <w:rPr>
            <w:rFonts w:eastAsia="Times New Roman" w:cs="Times New Roman"/>
            <w:szCs w:val="24"/>
            <w:bdr w:val="none" w:sz="0" w:space="0" w:color="auto" w:frame="1"/>
          </w:rPr>
          <w:t>1030</w:t>
        </w:r>
      </w:hyperlink>
      <w:r w:rsidRPr="00CA1BC1">
        <w:rPr>
          <w:rFonts w:eastAsia="Times New Roman" w:cs="Times New Roman"/>
          <w:szCs w:val="24"/>
        </w:rPr>
        <w:t>, </w:t>
      </w:r>
      <w:hyperlink r:id="rId255" w:history="1">
        <w:r w:rsidRPr="00CA1BC1">
          <w:rPr>
            <w:rFonts w:eastAsia="Times New Roman" w:cs="Times New Roman"/>
            <w:szCs w:val="24"/>
            <w:bdr w:val="none" w:sz="0" w:space="0" w:color="auto" w:frame="1"/>
          </w:rPr>
          <w:t>1037</w:t>
        </w:r>
      </w:hyperlink>
      <w:r w:rsidRPr="00CA1BC1">
        <w:rPr>
          <w:rFonts w:eastAsia="Times New Roman" w:cs="Times New Roman"/>
          <w:szCs w:val="24"/>
        </w:rPr>
        <w:t>; 2000, c. </w:t>
      </w:r>
      <w:hyperlink r:id="rId256" w:history="1">
        <w:r w:rsidRPr="00CA1BC1">
          <w:rPr>
            <w:rFonts w:eastAsia="Times New Roman" w:cs="Times New Roman"/>
            <w:szCs w:val="24"/>
            <w:bdr w:val="none" w:sz="0" w:space="0" w:color="auto" w:frame="1"/>
          </w:rPr>
          <w:t>867</w:t>
        </w:r>
      </w:hyperlink>
      <w:r w:rsidRPr="00CA1BC1">
        <w:rPr>
          <w:rFonts w:eastAsia="Times New Roman" w:cs="Times New Roman"/>
          <w:szCs w:val="24"/>
        </w:rPr>
        <w:t>; 2004, cc. </w:t>
      </w:r>
      <w:hyperlink r:id="rId257" w:history="1">
        <w:r w:rsidRPr="00CA1BC1">
          <w:rPr>
            <w:rFonts w:eastAsia="Times New Roman" w:cs="Times New Roman"/>
            <w:szCs w:val="24"/>
            <w:bdr w:val="none" w:sz="0" w:space="0" w:color="auto" w:frame="1"/>
          </w:rPr>
          <w:t>939</w:t>
        </w:r>
      </w:hyperlink>
      <w:r w:rsidRPr="00CA1BC1">
        <w:rPr>
          <w:rFonts w:eastAsia="Times New Roman" w:cs="Times New Roman"/>
          <w:szCs w:val="24"/>
        </w:rPr>
        <w:t>, </w:t>
      </w:r>
      <w:hyperlink r:id="rId258" w:history="1">
        <w:r w:rsidRPr="00CA1BC1">
          <w:rPr>
            <w:rFonts w:eastAsia="Times New Roman" w:cs="Times New Roman"/>
            <w:szCs w:val="24"/>
            <w:bdr w:val="none" w:sz="0" w:space="0" w:color="auto" w:frame="1"/>
          </w:rPr>
          <w:t>955</w:t>
        </w:r>
      </w:hyperlink>
      <w:r w:rsidRPr="00CA1BC1">
        <w:rPr>
          <w:rFonts w:eastAsia="Times New Roman" w:cs="Times New Roman"/>
          <w:szCs w:val="24"/>
        </w:rPr>
        <w:t>; 2005, cc. </w:t>
      </w:r>
      <w:hyperlink r:id="rId259" w:history="1">
        <w:r w:rsidRPr="00CA1BC1">
          <w:rPr>
            <w:rFonts w:eastAsia="Times New Roman" w:cs="Times New Roman"/>
            <w:szCs w:val="24"/>
            <w:bdr w:val="none" w:sz="0" w:space="0" w:color="auto" w:frame="1"/>
          </w:rPr>
          <w:t>331</w:t>
        </w:r>
      </w:hyperlink>
      <w:r w:rsidRPr="00CA1BC1">
        <w:rPr>
          <w:rFonts w:eastAsia="Times New Roman" w:cs="Times New Roman"/>
          <w:szCs w:val="24"/>
        </w:rPr>
        <w:t>, </w:t>
      </w:r>
      <w:hyperlink r:id="rId260" w:history="1">
        <w:r w:rsidRPr="00CA1BC1">
          <w:rPr>
            <w:rFonts w:eastAsia="Times New Roman" w:cs="Times New Roman"/>
            <w:szCs w:val="24"/>
            <w:bdr w:val="none" w:sz="0" w:space="0" w:color="auto" w:frame="1"/>
          </w:rPr>
          <w:t>450</w:t>
        </w:r>
      </w:hyperlink>
      <w:r w:rsidRPr="00CA1BC1">
        <w:rPr>
          <w:rFonts w:eastAsia="Times New Roman" w:cs="Times New Roman"/>
          <w:szCs w:val="24"/>
        </w:rPr>
        <w:t>; 2007, c. </w:t>
      </w:r>
      <w:hyperlink r:id="rId261" w:history="1">
        <w:r w:rsidRPr="00CA1BC1">
          <w:rPr>
            <w:rFonts w:eastAsia="Times New Roman" w:cs="Times New Roman"/>
            <w:szCs w:val="24"/>
            <w:bdr w:val="none" w:sz="0" w:space="0" w:color="auto" w:frame="1"/>
          </w:rPr>
          <w:t>234</w:t>
        </w:r>
      </w:hyperlink>
      <w:r w:rsidRPr="00CA1BC1">
        <w:rPr>
          <w:rFonts w:eastAsia="Times New Roman" w:cs="Times New Roman"/>
          <w:szCs w:val="24"/>
        </w:rPr>
        <w:t>; 2013, cc. </w:t>
      </w:r>
      <w:hyperlink r:id="rId262" w:history="1">
        <w:r w:rsidRPr="00CA1BC1">
          <w:rPr>
            <w:rFonts w:eastAsia="Times New Roman" w:cs="Times New Roman"/>
            <w:szCs w:val="24"/>
            <w:bdr w:val="none" w:sz="0" w:space="0" w:color="auto" w:frame="1"/>
          </w:rPr>
          <w:t>588</w:t>
        </w:r>
      </w:hyperlink>
      <w:r w:rsidRPr="00CA1BC1">
        <w:rPr>
          <w:rFonts w:eastAsia="Times New Roman" w:cs="Times New Roman"/>
          <w:szCs w:val="24"/>
        </w:rPr>
        <w:t>, </w:t>
      </w:r>
      <w:hyperlink r:id="rId263" w:history="1">
        <w:r w:rsidRPr="00CA1BC1">
          <w:rPr>
            <w:rFonts w:eastAsia="Times New Roman" w:cs="Times New Roman"/>
            <w:szCs w:val="24"/>
            <w:bdr w:val="none" w:sz="0" w:space="0" w:color="auto" w:frame="1"/>
          </w:rPr>
          <w:t>650</w:t>
        </w:r>
      </w:hyperlink>
      <w:r w:rsidRPr="00CA1BC1">
        <w:rPr>
          <w:rFonts w:eastAsia="Times New Roman" w:cs="Times New Roman"/>
          <w:szCs w:val="24"/>
        </w:rPr>
        <w:t>.</w:t>
      </w:r>
    </w:p>
    <w:p w:rsidR="00CA1BC1" w:rsidRPr="00F3758E" w:rsidRDefault="00CA1BC1" w:rsidP="00CA1BC1">
      <w:pPr>
        <w:pStyle w:val="Heading2"/>
        <w:rPr>
          <w:rFonts w:cs="Times New Roman"/>
          <w:color w:val="auto"/>
          <w:szCs w:val="24"/>
        </w:rPr>
      </w:pPr>
      <w:r w:rsidRPr="00F3758E">
        <w:rPr>
          <w:color w:val="auto"/>
        </w:rPr>
        <w:t xml:space="preserve">§ 22.1-253.13:6. Standard </w:t>
      </w:r>
      <w:proofErr w:type="gramStart"/>
      <w:r w:rsidRPr="00F3758E">
        <w:rPr>
          <w:color w:val="auto"/>
        </w:rPr>
        <w:t>6</w:t>
      </w:r>
      <w:proofErr w:type="gramEnd"/>
      <w:r w:rsidRPr="00F3758E">
        <w:rPr>
          <w:color w:val="auto"/>
        </w:rPr>
        <w:t>. Planning and public involvement.</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 xml:space="preserve">A. </w:t>
      </w:r>
      <w:proofErr w:type="gramStart"/>
      <w:r w:rsidRPr="00CA1BC1">
        <w:rPr>
          <w:rFonts w:eastAsia="Times New Roman" w:cs="Times New Roman"/>
          <w:szCs w:val="24"/>
        </w:rPr>
        <w:t>The</w:t>
      </w:r>
      <w:proofErr w:type="gramEnd"/>
      <w:r w:rsidRPr="00CA1BC1">
        <w:rPr>
          <w:rFonts w:eastAsia="Times New Roman" w:cs="Times New Roman"/>
          <w:szCs w:val="24"/>
        </w:rPr>
        <w:t xml:space="preserve"> Board of Education shall adopt a statewide comprehensive, unified, long-range plan based on data collection, analysis, and evaluation. Such plan shall be developed with statewide participation. The Board shall review the plan biennially and adopt any necessary revisions. The Board shall post the plan on the Department of Education's website if practicable, and, in any case, shall make a hard copy of such plan available for public inspection and copying.</w:t>
      </w:r>
    </w:p>
    <w:p w:rsidR="00CA1BC1" w:rsidRPr="00CA1BC1" w:rsidRDefault="00CA1BC1" w:rsidP="00CA1BC1">
      <w:pPr>
        <w:spacing w:after="0" w:line="240" w:lineRule="auto"/>
        <w:textAlignment w:val="baseline"/>
        <w:rPr>
          <w:rFonts w:eastAsia="Times New Roman" w:cs="Times New Roman"/>
          <w:szCs w:val="24"/>
        </w:rPr>
      </w:pPr>
      <w:r w:rsidRPr="00CA1BC1">
        <w:rPr>
          <w:rFonts w:eastAsia="Times New Roman" w:cs="Times New Roman"/>
          <w:szCs w:val="24"/>
        </w:rPr>
        <w:t>This plan shall include the objectives of public education in Virginia, including strategies for first improving student achievement, particularly the achievement of educationally at-risk students, then maintaining high levels of student achievement; an assessment of the extent to which these objectives are being achieved; a forecast of enrollment changes; and an assessment of the needs of public education in the Commonwealth. In the annual report required by § </w:t>
      </w:r>
      <w:hyperlink r:id="rId264" w:history="1">
        <w:r w:rsidRPr="00CA1BC1">
          <w:rPr>
            <w:rFonts w:eastAsia="Times New Roman" w:cs="Times New Roman"/>
            <w:szCs w:val="24"/>
            <w:bdr w:val="none" w:sz="0" w:space="0" w:color="auto" w:frame="1"/>
          </w:rPr>
          <w:t>22.1-18</w:t>
        </w:r>
      </w:hyperlink>
      <w:r w:rsidRPr="00CA1BC1">
        <w:rPr>
          <w:rFonts w:eastAsia="Times New Roman" w:cs="Times New Roman"/>
          <w:szCs w:val="24"/>
        </w:rPr>
        <w:t>, the Board shall include an analysis of the extent to which these Standards of Quality have been achieved and the objectives of the statewide comprehensive plan have been met. The Board shall also develop, consistent with, or as a part of, its comprehensive plan, a detailed comprehensive, long-range plan to integrate educational technology into the Standards of Learning and the curricula of the public schools in Virginia, including career and technical education programs. The Board shall review and approve the comprehensive plan for educational technology and may require the revision of such plan as it deems necessary.</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 xml:space="preserve">B. Each local school board shall adopt a </w:t>
      </w:r>
      <w:proofErr w:type="spellStart"/>
      <w:r w:rsidRPr="00CA1BC1">
        <w:rPr>
          <w:rFonts w:eastAsia="Times New Roman" w:cs="Times New Roman"/>
          <w:szCs w:val="24"/>
        </w:rPr>
        <w:t>divisionwide</w:t>
      </w:r>
      <w:proofErr w:type="spellEnd"/>
      <w:r w:rsidRPr="00CA1BC1">
        <w:rPr>
          <w:rFonts w:eastAsia="Times New Roman" w:cs="Times New Roman"/>
          <w:szCs w:val="24"/>
        </w:rPr>
        <w:t xml:space="preserve"> comprehensive, unified, long-range plan based on data collection, an analysis of the data, and how the data </w:t>
      </w:r>
      <w:proofErr w:type="gramStart"/>
      <w:r w:rsidRPr="00CA1BC1">
        <w:rPr>
          <w:rFonts w:eastAsia="Times New Roman" w:cs="Times New Roman"/>
          <w:szCs w:val="24"/>
        </w:rPr>
        <w:t>will be utilized</w:t>
      </w:r>
      <w:proofErr w:type="gramEnd"/>
      <w:r w:rsidRPr="00CA1BC1">
        <w:rPr>
          <w:rFonts w:eastAsia="Times New Roman" w:cs="Times New Roman"/>
          <w:szCs w:val="24"/>
        </w:rPr>
        <w:t xml:space="preserve"> to improve classroom instruction and student achievement. The plan shall be developed with staff and community involvement and shall include, or be consistent with, all other </w:t>
      </w:r>
      <w:proofErr w:type="spellStart"/>
      <w:r w:rsidRPr="00CA1BC1">
        <w:rPr>
          <w:rFonts w:eastAsia="Times New Roman" w:cs="Times New Roman"/>
          <w:szCs w:val="24"/>
        </w:rPr>
        <w:t>divisionwide</w:t>
      </w:r>
      <w:proofErr w:type="spellEnd"/>
      <w:r w:rsidRPr="00CA1BC1">
        <w:rPr>
          <w:rFonts w:eastAsia="Times New Roman" w:cs="Times New Roman"/>
          <w:szCs w:val="24"/>
        </w:rPr>
        <w:t xml:space="preserve"> plans required by state and federal laws and regulations. Each local school board shall review the plan biennially and adopt any necessary revisions. Prior to the adoption of any </w:t>
      </w:r>
      <w:proofErr w:type="spellStart"/>
      <w:r w:rsidRPr="00CA1BC1">
        <w:rPr>
          <w:rFonts w:eastAsia="Times New Roman" w:cs="Times New Roman"/>
          <w:szCs w:val="24"/>
        </w:rPr>
        <w:t>divisionwide</w:t>
      </w:r>
      <w:proofErr w:type="spellEnd"/>
      <w:r w:rsidRPr="00CA1BC1">
        <w:rPr>
          <w:rFonts w:eastAsia="Times New Roman" w:cs="Times New Roman"/>
          <w:szCs w:val="24"/>
        </w:rPr>
        <w:t xml:space="preserve"> comprehensive plan or revisions thereto, each local school board shall post such plan or revisions on the division's Internet website if practicable, and, in any case, shall make a hard copy of the plan or revisions available for public inspection and copying and shall conduct at least one public hearing to solicit public comment on the </w:t>
      </w:r>
      <w:proofErr w:type="spellStart"/>
      <w:r w:rsidRPr="00CA1BC1">
        <w:rPr>
          <w:rFonts w:eastAsia="Times New Roman" w:cs="Times New Roman"/>
          <w:szCs w:val="24"/>
        </w:rPr>
        <w:t>divisionwide</w:t>
      </w:r>
      <w:proofErr w:type="spellEnd"/>
      <w:r w:rsidRPr="00CA1BC1">
        <w:rPr>
          <w:rFonts w:eastAsia="Times New Roman" w:cs="Times New Roman"/>
          <w:szCs w:val="24"/>
        </w:rPr>
        <w:t xml:space="preserve"> plan or revisions.</w:t>
      </w:r>
    </w:p>
    <w:p w:rsidR="00CA1BC1" w:rsidRPr="00CA1BC1" w:rsidRDefault="00CA1BC1" w:rsidP="00CA1BC1">
      <w:pPr>
        <w:spacing w:after="0" w:line="240" w:lineRule="auto"/>
        <w:textAlignment w:val="baseline"/>
        <w:rPr>
          <w:rFonts w:eastAsia="Times New Roman" w:cs="Times New Roman"/>
          <w:szCs w:val="24"/>
        </w:rPr>
      </w:pPr>
      <w:r w:rsidRPr="00CA1BC1">
        <w:rPr>
          <w:rFonts w:eastAsia="Times New Roman" w:cs="Times New Roman"/>
          <w:szCs w:val="24"/>
        </w:rPr>
        <w:t xml:space="preserve">The </w:t>
      </w:r>
      <w:proofErr w:type="spellStart"/>
      <w:r w:rsidRPr="00CA1BC1">
        <w:rPr>
          <w:rFonts w:eastAsia="Times New Roman" w:cs="Times New Roman"/>
          <w:szCs w:val="24"/>
        </w:rPr>
        <w:t>divisionwide</w:t>
      </w:r>
      <w:proofErr w:type="spellEnd"/>
      <w:r w:rsidRPr="00CA1BC1">
        <w:rPr>
          <w:rFonts w:eastAsia="Times New Roman" w:cs="Times New Roman"/>
          <w:szCs w:val="24"/>
        </w:rPr>
        <w:t xml:space="preserve"> comprehensive plan shall include, but shall not be limited to, (</w:t>
      </w:r>
      <w:proofErr w:type="spellStart"/>
      <w:r w:rsidRPr="00CA1BC1">
        <w:rPr>
          <w:rFonts w:eastAsia="Times New Roman" w:cs="Times New Roman"/>
          <w:szCs w:val="24"/>
        </w:rPr>
        <w:t>i</w:t>
      </w:r>
      <w:proofErr w:type="spellEnd"/>
      <w:r w:rsidRPr="00CA1BC1">
        <w:rPr>
          <w:rFonts w:eastAsia="Times New Roman" w:cs="Times New Roman"/>
          <w:szCs w:val="24"/>
        </w:rPr>
        <w:t xml:space="preserve">) the objectives of the school division, including strategies for first improving student achievement, particularly the achievement of educationally at-risk students, then maintaining high levels of student achievement; (ii) an assessment of the extent to which these objectives are being achieved; (iii) a </w:t>
      </w:r>
      <w:r w:rsidRPr="00CA1BC1">
        <w:rPr>
          <w:rFonts w:eastAsia="Times New Roman" w:cs="Times New Roman"/>
          <w:szCs w:val="24"/>
        </w:rPr>
        <w:lastRenderedPageBreak/>
        <w:t>forecast of enrollment changes; (iv) a plan for projecting and managing enrollment changes including consideration of the consolidation of schools to provide for a more comprehensive and effective delivery of instructional services to students and economies in school operations; (v) an evaluation of the appropriateness of establishing regional programs and services in cooperation with neighboring school divisions; (vi) a plan for implementing such regional programs and services when appropriate; (vii) a technology plan designed to integrate educational technology into the instructional programs of the school division, including the school division's career and technical education programs, consistent with, or as a part of, the comprehensive technology plan for Virginia adopted by the Board of Education; (viii) an assessment of the needs of the school division and evidence of community participation, including parental participation, in the development of the plan; (ix) any corrective action plan required pursuant to § </w:t>
      </w:r>
      <w:hyperlink r:id="rId265" w:history="1">
        <w:r w:rsidRPr="00CA1BC1">
          <w:rPr>
            <w:rFonts w:eastAsia="Times New Roman" w:cs="Times New Roman"/>
            <w:szCs w:val="24"/>
            <w:bdr w:val="none" w:sz="0" w:space="0" w:color="auto" w:frame="1"/>
          </w:rPr>
          <w:t>22.1-253.13:3</w:t>
        </w:r>
      </w:hyperlink>
      <w:r w:rsidRPr="00CA1BC1">
        <w:rPr>
          <w:rFonts w:eastAsia="Times New Roman" w:cs="Times New Roman"/>
          <w:szCs w:val="24"/>
        </w:rPr>
        <w:t>; and (x) a plan for parent and family involvement to include building successful school and parent partnerships that shall be developed with staff and community involvement, including participation by parents.</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 xml:space="preserve">A report shall be presented by each school board to the public by November 1 of each odd-numbered year on the extent to which the objectives of the </w:t>
      </w:r>
      <w:proofErr w:type="spellStart"/>
      <w:r w:rsidRPr="00CA1BC1">
        <w:rPr>
          <w:rFonts w:eastAsia="Times New Roman" w:cs="Times New Roman"/>
          <w:szCs w:val="24"/>
        </w:rPr>
        <w:t>divisionwide</w:t>
      </w:r>
      <w:proofErr w:type="spellEnd"/>
      <w:r w:rsidRPr="00CA1BC1">
        <w:rPr>
          <w:rFonts w:eastAsia="Times New Roman" w:cs="Times New Roman"/>
          <w:szCs w:val="24"/>
        </w:rPr>
        <w:t xml:space="preserve"> comprehensive plan have been met during the previous two school years.</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 xml:space="preserve">C. Each public school shall also prepare a comprehensive, unified, long-range plan, which the relevant school board shall consider in the development of its </w:t>
      </w:r>
      <w:proofErr w:type="spellStart"/>
      <w:r w:rsidRPr="00CA1BC1">
        <w:rPr>
          <w:rFonts w:eastAsia="Times New Roman" w:cs="Times New Roman"/>
          <w:szCs w:val="24"/>
        </w:rPr>
        <w:t>divisionwide</w:t>
      </w:r>
      <w:proofErr w:type="spellEnd"/>
      <w:r w:rsidRPr="00CA1BC1">
        <w:rPr>
          <w:rFonts w:eastAsia="Times New Roman" w:cs="Times New Roman"/>
          <w:szCs w:val="24"/>
        </w:rPr>
        <w:t xml:space="preserve"> comprehensive plan.</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 xml:space="preserve">D. </w:t>
      </w:r>
      <w:proofErr w:type="gramStart"/>
      <w:r w:rsidRPr="00CA1BC1">
        <w:rPr>
          <w:rFonts w:eastAsia="Times New Roman" w:cs="Times New Roman"/>
          <w:szCs w:val="24"/>
        </w:rPr>
        <w:t>The</w:t>
      </w:r>
      <w:proofErr w:type="gramEnd"/>
      <w:r w:rsidRPr="00CA1BC1">
        <w:rPr>
          <w:rFonts w:eastAsia="Times New Roman" w:cs="Times New Roman"/>
          <w:szCs w:val="24"/>
        </w:rPr>
        <w:t xml:space="preserve"> Board of Education shall, in a timely manner, make available to local school boards information about where current Virginia school laws, Board regulations and revisions, and copies of relevant Opinions of the Attorney General of Virginia may be located online.</w:t>
      </w:r>
    </w:p>
    <w:p w:rsidR="00CA1BC1" w:rsidRPr="00CA1BC1" w:rsidRDefault="00CA1BC1" w:rsidP="00CA1BC1">
      <w:pPr>
        <w:spacing w:after="0" w:line="240" w:lineRule="auto"/>
        <w:textAlignment w:val="baseline"/>
        <w:rPr>
          <w:rFonts w:eastAsia="Times New Roman" w:cs="Times New Roman"/>
          <w:szCs w:val="24"/>
        </w:rPr>
      </w:pPr>
      <w:r w:rsidRPr="00CA1BC1">
        <w:rPr>
          <w:rFonts w:eastAsia="Times New Roman" w:cs="Times New Roman"/>
          <w:szCs w:val="24"/>
        </w:rPr>
        <w:t>1988, cc. 645, 682; 1990, cc. 820, 839; 1992, c. 591; 1998, c. </w:t>
      </w:r>
      <w:hyperlink r:id="rId266" w:history="1">
        <w:r w:rsidRPr="00CA1BC1">
          <w:rPr>
            <w:rFonts w:eastAsia="Times New Roman" w:cs="Times New Roman"/>
            <w:szCs w:val="24"/>
            <w:bdr w:val="none" w:sz="0" w:space="0" w:color="auto" w:frame="1"/>
          </w:rPr>
          <w:t>106</w:t>
        </w:r>
      </w:hyperlink>
      <w:r w:rsidRPr="00CA1BC1">
        <w:rPr>
          <w:rFonts w:eastAsia="Times New Roman" w:cs="Times New Roman"/>
          <w:szCs w:val="24"/>
        </w:rPr>
        <w:t>; 2000, c. </w:t>
      </w:r>
      <w:hyperlink r:id="rId267" w:history="1">
        <w:r w:rsidRPr="00CA1BC1">
          <w:rPr>
            <w:rFonts w:eastAsia="Times New Roman" w:cs="Times New Roman"/>
            <w:szCs w:val="24"/>
            <w:bdr w:val="none" w:sz="0" w:space="0" w:color="auto" w:frame="1"/>
          </w:rPr>
          <w:t>867</w:t>
        </w:r>
      </w:hyperlink>
      <w:r w:rsidRPr="00CA1BC1">
        <w:rPr>
          <w:rFonts w:eastAsia="Times New Roman" w:cs="Times New Roman"/>
          <w:szCs w:val="24"/>
        </w:rPr>
        <w:t>; 2001, c. </w:t>
      </w:r>
      <w:hyperlink r:id="rId268" w:history="1">
        <w:r w:rsidRPr="00CA1BC1">
          <w:rPr>
            <w:rFonts w:eastAsia="Times New Roman" w:cs="Times New Roman"/>
            <w:szCs w:val="24"/>
            <w:bdr w:val="none" w:sz="0" w:space="0" w:color="auto" w:frame="1"/>
          </w:rPr>
          <w:t>484</w:t>
        </w:r>
      </w:hyperlink>
      <w:r w:rsidRPr="00CA1BC1">
        <w:rPr>
          <w:rFonts w:eastAsia="Times New Roman" w:cs="Times New Roman"/>
          <w:szCs w:val="24"/>
        </w:rPr>
        <w:t>; 2004, cc. </w:t>
      </w:r>
      <w:hyperlink r:id="rId269" w:history="1">
        <w:r w:rsidRPr="00CA1BC1">
          <w:rPr>
            <w:rFonts w:eastAsia="Times New Roman" w:cs="Times New Roman"/>
            <w:szCs w:val="24"/>
            <w:bdr w:val="none" w:sz="0" w:space="0" w:color="auto" w:frame="1"/>
          </w:rPr>
          <w:t>939</w:t>
        </w:r>
      </w:hyperlink>
      <w:r w:rsidRPr="00CA1BC1">
        <w:rPr>
          <w:rFonts w:eastAsia="Times New Roman" w:cs="Times New Roman"/>
          <w:szCs w:val="24"/>
        </w:rPr>
        <w:t>, </w:t>
      </w:r>
      <w:hyperlink r:id="rId270" w:history="1">
        <w:r w:rsidRPr="00CA1BC1">
          <w:rPr>
            <w:rFonts w:eastAsia="Times New Roman" w:cs="Times New Roman"/>
            <w:szCs w:val="24"/>
            <w:bdr w:val="none" w:sz="0" w:space="0" w:color="auto" w:frame="1"/>
          </w:rPr>
          <w:t>955</w:t>
        </w:r>
      </w:hyperlink>
      <w:r w:rsidRPr="00CA1BC1">
        <w:rPr>
          <w:rFonts w:eastAsia="Times New Roman" w:cs="Times New Roman"/>
          <w:szCs w:val="24"/>
        </w:rPr>
        <w:t>, </w:t>
      </w:r>
      <w:hyperlink r:id="rId271" w:history="1">
        <w:r w:rsidRPr="00CA1BC1">
          <w:rPr>
            <w:rFonts w:eastAsia="Times New Roman" w:cs="Times New Roman"/>
            <w:szCs w:val="24"/>
            <w:bdr w:val="none" w:sz="0" w:space="0" w:color="auto" w:frame="1"/>
          </w:rPr>
          <w:t>965</w:t>
        </w:r>
      </w:hyperlink>
      <w:r w:rsidRPr="00CA1BC1">
        <w:rPr>
          <w:rFonts w:eastAsia="Times New Roman" w:cs="Times New Roman"/>
          <w:szCs w:val="24"/>
        </w:rPr>
        <w:t>; 2005, cc. </w:t>
      </w:r>
      <w:hyperlink r:id="rId272" w:history="1">
        <w:r w:rsidRPr="00CA1BC1">
          <w:rPr>
            <w:rFonts w:eastAsia="Times New Roman" w:cs="Times New Roman"/>
            <w:szCs w:val="24"/>
            <w:bdr w:val="none" w:sz="0" w:space="0" w:color="auto" w:frame="1"/>
          </w:rPr>
          <w:t>331</w:t>
        </w:r>
      </w:hyperlink>
      <w:r w:rsidRPr="00CA1BC1">
        <w:rPr>
          <w:rFonts w:eastAsia="Times New Roman" w:cs="Times New Roman"/>
          <w:szCs w:val="24"/>
        </w:rPr>
        <w:t>, </w:t>
      </w:r>
      <w:hyperlink r:id="rId273" w:history="1">
        <w:r w:rsidRPr="00CA1BC1">
          <w:rPr>
            <w:rFonts w:eastAsia="Times New Roman" w:cs="Times New Roman"/>
            <w:szCs w:val="24"/>
            <w:bdr w:val="none" w:sz="0" w:space="0" w:color="auto" w:frame="1"/>
          </w:rPr>
          <w:t>450</w:t>
        </w:r>
      </w:hyperlink>
      <w:r w:rsidRPr="00CA1BC1">
        <w:rPr>
          <w:rFonts w:eastAsia="Times New Roman" w:cs="Times New Roman"/>
          <w:szCs w:val="24"/>
        </w:rPr>
        <w:t>; 2007, c. </w:t>
      </w:r>
      <w:hyperlink r:id="rId274" w:history="1">
        <w:r w:rsidRPr="00CA1BC1">
          <w:rPr>
            <w:rFonts w:eastAsia="Times New Roman" w:cs="Times New Roman"/>
            <w:szCs w:val="24"/>
            <w:bdr w:val="none" w:sz="0" w:space="0" w:color="auto" w:frame="1"/>
          </w:rPr>
          <w:t>234</w:t>
        </w:r>
      </w:hyperlink>
      <w:r w:rsidRPr="00CA1BC1">
        <w:rPr>
          <w:rFonts w:eastAsia="Times New Roman" w:cs="Times New Roman"/>
          <w:szCs w:val="24"/>
        </w:rPr>
        <w:t>.</w:t>
      </w:r>
    </w:p>
    <w:p w:rsidR="00CA1BC1" w:rsidRPr="00F3758E" w:rsidRDefault="00CA1BC1" w:rsidP="00CA1BC1">
      <w:pPr>
        <w:pStyle w:val="Heading2"/>
        <w:rPr>
          <w:rFonts w:cs="Times New Roman"/>
          <w:color w:val="auto"/>
          <w:szCs w:val="24"/>
        </w:rPr>
      </w:pPr>
      <w:r w:rsidRPr="00F3758E">
        <w:rPr>
          <w:color w:val="auto"/>
        </w:rPr>
        <w:t xml:space="preserve">§ 22.1-253.13:7. Standard </w:t>
      </w:r>
      <w:proofErr w:type="gramStart"/>
      <w:r w:rsidRPr="00F3758E">
        <w:rPr>
          <w:color w:val="auto"/>
        </w:rPr>
        <w:t>7</w:t>
      </w:r>
      <w:proofErr w:type="gramEnd"/>
      <w:r w:rsidRPr="00F3758E">
        <w:rPr>
          <w:color w:val="auto"/>
        </w:rPr>
        <w:t>. School board policies.</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A. Each local school board shall develop policies and procedures to address complaints of sexual abuse of a student by a teacher or other school board employee.</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B. Each local school board shall maintain and follow up-to-date policies. All school board policies shall be reviewed at least every five years and revised as needed.</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C. Each local school board shall ensure that policies are developed giving consideration to the views of teachers, parents, and other concerned citizens and addressing the following:</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1. A system of two-way communication between employees and the local school board and its administrative staff whereby matters of concern can be discussed in an orderly and constructive manner;</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2. The selection and evaluation of all instructional materials purchased by the school division, with clear procedures for handling challenged controversial materials</w:t>
      </w:r>
      <w:proofErr w:type="gramStart"/>
      <w:r w:rsidRPr="00CA1BC1">
        <w:rPr>
          <w:rFonts w:eastAsia="Times New Roman" w:cs="Times New Roman"/>
          <w:szCs w:val="24"/>
        </w:rPr>
        <w:t>;</w:t>
      </w:r>
      <w:proofErr w:type="gramEnd"/>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3. The standards of student conduct and attendance and enforcement procedures designed to provide that public education be conducted in an atmosphere free of disruption and threat to persons or property and supportive of individual rights;</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lastRenderedPageBreak/>
        <w:t>4. School-community communications and community involvement;</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5. Guidelines to encourage parents to provide instructional assistance to their children in the home, which may include voluntary training for the parents of children in grades K through three;</w:t>
      </w:r>
    </w:p>
    <w:p w:rsidR="00CA1BC1" w:rsidRPr="00CA1BC1" w:rsidRDefault="00CA1BC1" w:rsidP="00CA1BC1">
      <w:pPr>
        <w:spacing w:after="0" w:line="240" w:lineRule="auto"/>
        <w:textAlignment w:val="baseline"/>
        <w:rPr>
          <w:rFonts w:eastAsia="Times New Roman" w:cs="Times New Roman"/>
          <w:szCs w:val="24"/>
        </w:rPr>
      </w:pPr>
      <w:r w:rsidRPr="00CA1BC1">
        <w:rPr>
          <w:rFonts w:eastAsia="Times New Roman" w:cs="Times New Roman"/>
          <w:szCs w:val="24"/>
        </w:rPr>
        <w:t>6. Information about procedures for addressing concerns with the school division and recourse available to parents pursuant to § </w:t>
      </w:r>
      <w:hyperlink r:id="rId275" w:history="1">
        <w:r w:rsidRPr="00CA1BC1">
          <w:rPr>
            <w:rFonts w:eastAsia="Times New Roman" w:cs="Times New Roman"/>
            <w:szCs w:val="24"/>
            <w:bdr w:val="none" w:sz="0" w:space="0" w:color="auto" w:frame="1"/>
          </w:rPr>
          <w:t>22.1-87</w:t>
        </w:r>
      </w:hyperlink>
      <w:r w:rsidRPr="00CA1BC1">
        <w:rPr>
          <w:rFonts w:eastAsia="Times New Roman" w:cs="Times New Roman"/>
          <w:szCs w:val="24"/>
        </w:rPr>
        <w:t>;</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7. A cooperatively developed procedure for personnel evaluation appropriate to tasks performed by those being evaluated; and</w:t>
      </w:r>
    </w:p>
    <w:p w:rsidR="00CA1BC1" w:rsidRPr="00CA1BC1" w:rsidRDefault="00CA1BC1" w:rsidP="00CA1BC1">
      <w:pPr>
        <w:spacing w:after="0" w:line="240" w:lineRule="auto"/>
        <w:textAlignment w:val="baseline"/>
        <w:rPr>
          <w:rFonts w:eastAsia="Times New Roman" w:cs="Times New Roman"/>
          <w:szCs w:val="24"/>
        </w:rPr>
      </w:pPr>
      <w:r w:rsidRPr="00CA1BC1">
        <w:rPr>
          <w:rFonts w:eastAsia="Times New Roman" w:cs="Times New Roman"/>
          <w:szCs w:val="24"/>
        </w:rPr>
        <w:t>8. Grievances, dismissals, etc., of teachers, and the implementation procedure prescribed by the General Assembly and the Board of Education, as provided in Article 3 (§ </w:t>
      </w:r>
      <w:hyperlink r:id="rId276" w:history="1">
        <w:r w:rsidRPr="00CA1BC1">
          <w:rPr>
            <w:rFonts w:eastAsia="Times New Roman" w:cs="Times New Roman"/>
            <w:szCs w:val="24"/>
            <w:bdr w:val="none" w:sz="0" w:space="0" w:color="auto" w:frame="1"/>
          </w:rPr>
          <w:t>22.1-306</w:t>
        </w:r>
      </w:hyperlink>
      <w:r w:rsidRPr="00CA1BC1">
        <w:rPr>
          <w:rFonts w:eastAsia="Times New Roman" w:cs="Times New Roman"/>
          <w:szCs w:val="24"/>
        </w:rPr>
        <w:t> et seq.) of Chapter 15, and the maintenance of copies of such procedures.</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D. A current copy of all school division policies and regulations approved by the local school board, including the Student Conduct Policy, shall be posted on the division's website and shall be available to employees and to the public. School boards shall ensure that printed copies of such policies and regulations are available as needed to citizens who do not have online access.</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E. An annual announcement shall be made in each division at the beginning of the school year and, for parents of students enrolling later in the academic year, at the time of enrollment, advising the public that the policies are available in such places.</w:t>
      </w:r>
    </w:p>
    <w:p w:rsidR="00CA1BC1" w:rsidRPr="00CA1BC1" w:rsidRDefault="00CA1BC1" w:rsidP="00CA1BC1">
      <w:pPr>
        <w:spacing w:after="0" w:line="240" w:lineRule="auto"/>
        <w:textAlignment w:val="baseline"/>
        <w:rPr>
          <w:rFonts w:eastAsia="Times New Roman" w:cs="Times New Roman"/>
          <w:szCs w:val="24"/>
        </w:rPr>
      </w:pPr>
      <w:r w:rsidRPr="00CA1BC1">
        <w:rPr>
          <w:rFonts w:eastAsia="Times New Roman" w:cs="Times New Roman"/>
          <w:szCs w:val="24"/>
        </w:rPr>
        <w:t>1988, cc. 645, 682, 754; 1990, c. 291; 1992, c. 591; 2004, cc. </w:t>
      </w:r>
      <w:hyperlink r:id="rId277" w:history="1">
        <w:r w:rsidRPr="00CA1BC1">
          <w:rPr>
            <w:rFonts w:eastAsia="Times New Roman" w:cs="Times New Roman"/>
            <w:szCs w:val="24"/>
            <w:bdr w:val="none" w:sz="0" w:space="0" w:color="auto" w:frame="1"/>
          </w:rPr>
          <w:t>939</w:t>
        </w:r>
      </w:hyperlink>
      <w:r w:rsidRPr="00CA1BC1">
        <w:rPr>
          <w:rFonts w:eastAsia="Times New Roman" w:cs="Times New Roman"/>
          <w:szCs w:val="24"/>
        </w:rPr>
        <w:t>, </w:t>
      </w:r>
      <w:hyperlink r:id="rId278" w:history="1">
        <w:r w:rsidRPr="00CA1BC1">
          <w:rPr>
            <w:rFonts w:eastAsia="Times New Roman" w:cs="Times New Roman"/>
            <w:szCs w:val="24"/>
            <w:bdr w:val="none" w:sz="0" w:space="0" w:color="auto" w:frame="1"/>
          </w:rPr>
          <w:t>955</w:t>
        </w:r>
      </w:hyperlink>
      <w:r w:rsidRPr="00CA1BC1">
        <w:rPr>
          <w:rFonts w:eastAsia="Times New Roman" w:cs="Times New Roman"/>
          <w:szCs w:val="24"/>
        </w:rPr>
        <w:t>; 2007, c. </w:t>
      </w:r>
      <w:hyperlink r:id="rId279" w:history="1">
        <w:r w:rsidRPr="00CA1BC1">
          <w:rPr>
            <w:rFonts w:eastAsia="Times New Roman" w:cs="Times New Roman"/>
            <w:szCs w:val="24"/>
            <w:bdr w:val="none" w:sz="0" w:space="0" w:color="auto" w:frame="1"/>
          </w:rPr>
          <w:t>234</w:t>
        </w:r>
      </w:hyperlink>
      <w:r w:rsidRPr="00CA1BC1">
        <w:rPr>
          <w:rFonts w:eastAsia="Times New Roman" w:cs="Times New Roman"/>
          <w:szCs w:val="24"/>
        </w:rPr>
        <w:t>; 2008, cc. </w:t>
      </w:r>
      <w:hyperlink r:id="rId280" w:history="1">
        <w:r w:rsidRPr="00CA1BC1">
          <w:rPr>
            <w:rFonts w:eastAsia="Times New Roman" w:cs="Times New Roman"/>
            <w:szCs w:val="24"/>
            <w:bdr w:val="none" w:sz="0" w:space="0" w:color="auto" w:frame="1"/>
          </w:rPr>
          <w:t>474</w:t>
        </w:r>
      </w:hyperlink>
      <w:r w:rsidRPr="00CA1BC1">
        <w:rPr>
          <w:rFonts w:eastAsia="Times New Roman" w:cs="Times New Roman"/>
          <w:szCs w:val="24"/>
        </w:rPr>
        <w:t>, </w:t>
      </w:r>
      <w:hyperlink r:id="rId281" w:history="1">
        <w:r w:rsidRPr="00CA1BC1">
          <w:rPr>
            <w:rFonts w:eastAsia="Times New Roman" w:cs="Times New Roman"/>
            <w:szCs w:val="24"/>
            <w:bdr w:val="none" w:sz="0" w:space="0" w:color="auto" w:frame="1"/>
          </w:rPr>
          <w:t>827</w:t>
        </w:r>
      </w:hyperlink>
      <w:r w:rsidRPr="00CA1BC1">
        <w:rPr>
          <w:rFonts w:eastAsia="Times New Roman" w:cs="Times New Roman"/>
          <w:szCs w:val="24"/>
        </w:rPr>
        <w:t>; 2013, c. </w:t>
      </w:r>
      <w:hyperlink r:id="rId282" w:history="1">
        <w:r w:rsidRPr="00CA1BC1">
          <w:rPr>
            <w:rFonts w:eastAsia="Times New Roman" w:cs="Times New Roman"/>
            <w:szCs w:val="24"/>
            <w:bdr w:val="none" w:sz="0" w:space="0" w:color="auto" w:frame="1"/>
          </w:rPr>
          <w:t>301</w:t>
        </w:r>
      </w:hyperlink>
      <w:r w:rsidRPr="00CA1BC1">
        <w:rPr>
          <w:rFonts w:eastAsia="Times New Roman" w:cs="Times New Roman"/>
          <w:szCs w:val="24"/>
        </w:rPr>
        <w:t>.</w:t>
      </w:r>
    </w:p>
    <w:p w:rsidR="00CA1BC1" w:rsidRPr="00F3758E" w:rsidRDefault="00CA1BC1" w:rsidP="00CA1BC1">
      <w:pPr>
        <w:pStyle w:val="Heading2"/>
        <w:rPr>
          <w:rFonts w:cs="Times New Roman"/>
          <w:color w:val="auto"/>
          <w:szCs w:val="24"/>
        </w:rPr>
      </w:pPr>
      <w:r w:rsidRPr="00F3758E">
        <w:rPr>
          <w:color w:val="auto"/>
        </w:rPr>
        <w:t>§ 22.1-253.13:8. Compliance.</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The Standards of Quality prescribed in this chapter shall be the only standards of quality required by Article VIII, Section 2 of the Constitution of Virginia.</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 xml:space="preserve">Each local school board shall provide, as a minimum, the programs and services, as provided in the Standards of Quality prescribed above, with state and local funds as apportioned by the General Assembly in the appropriation act and to the </w:t>
      </w:r>
      <w:proofErr w:type="gramStart"/>
      <w:r w:rsidRPr="00CA1BC1">
        <w:rPr>
          <w:rFonts w:eastAsia="Times New Roman" w:cs="Times New Roman"/>
          <w:szCs w:val="24"/>
        </w:rPr>
        <w:t>extent</w:t>
      </w:r>
      <w:proofErr w:type="gramEnd"/>
      <w:r w:rsidRPr="00CA1BC1">
        <w:rPr>
          <w:rFonts w:eastAsia="Times New Roman" w:cs="Times New Roman"/>
          <w:szCs w:val="24"/>
        </w:rPr>
        <w:t xml:space="preserve"> funding is provided by the General Assembly.</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 xml:space="preserve">Each local school board shall report its compliance with the Standards of Quality to the Board of Education annually. The report of compliance shall be submitted to the Board of Education by the </w:t>
      </w:r>
      <w:proofErr w:type="gramStart"/>
      <w:r w:rsidRPr="00CA1BC1">
        <w:rPr>
          <w:rFonts w:eastAsia="Times New Roman" w:cs="Times New Roman"/>
          <w:szCs w:val="24"/>
        </w:rPr>
        <w:t>chairman</w:t>
      </w:r>
      <w:proofErr w:type="gramEnd"/>
      <w:r w:rsidRPr="00CA1BC1">
        <w:rPr>
          <w:rFonts w:eastAsia="Times New Roman" w:cs="Times New Roman"/>
          <w:szCs w:val="24"/>
        </w:rPr>
        <w:t xml:space="preserve"> of the local school board and the division superintendent.</w:t>
      </w:r>
    </w:p>
    <w:p w:rsidR="00CA1BC1" w:rsidRPr="00CA1BC1" w:rsidRDefault="00CA1BC1" w:rsidP="00CA1BC1">
      <w:pPr>
        <w:spacing w:after="0" w:line="240" w:lineRule="auto"/>
        <w:textAlignment w:val="baseline"/>
        <w:rPr>
          <w:rFonts w:eastAsia="Times New Roman" w:cs="Times New Roman"/>
          <w:szCs w:val="24"/>
        </w:rPr>
      </w:pPr>
      <w:r w:rsidRPr="00CA1BC1">
        <w:rPr>
          <w:rFonts w:eastAsia="Times New Roman" w:cs="Times New Roman"/>
          <w:szCs w:val="24"/>
        </w:rPr>
        <w:t>Noncompliance with the Standards of Quality shall be included in the Board of Education's annual report to the Governor and the General Assembly as required by § </w:t>
      </w:r>
      <w:hyperlink r:id="rId283" w:history="1">
        <w:r w:rsidRPr="00CA1BC1">
          <w:rPr>
            <w:rFonts w:eastAsia="Times New Roman" w:cs="Times New Roman"/>
            <w:szCs w:val="24"/>
            <w:bdr w:val="none" w:sz="0" w:space="0" w:color="auto" w:frame="1"/>
          </w:rPr>
          <w:t>22.1-18</w:t>
        </w:r>
      </w:hyperlink>
      <w:r w:rsidRPr="00CA1BC1">
        <w:rPr>
          <w:rFonts w:eastAsia="Times New Roman" w:cs="Times New Roman"/>
          <w:szCs w:val="24"/>
        </w:rPr>
        <w:t>.</w:t>
      </w:r>
    </w:p>
    <w:p w:rsidR="00CA1BC1" w:rsidRPr="00CA1BC1" w:rsidRDefault="00CA1BC1" w:rsidP="00CA1BC1">
      <w:pPr>
        <w:spacing w:after="0" w:line="240" w:lineRule="auto"/>
        <w:textAlignment w:val="baseline"/>
        <w:rPr>
          <w:rFonts w:eastAsia="Times New Roman" w:cs="Times New Roman"/>
          <w:szCs w:val="24"/>
        </w:rPr>
      </w:pPr>
      <w:r w:rsidRPr="00CA1BC1">
        <w:rPr>
          <w:rFonts w:eastAsia="Times New Roman" w:cs="Times New Roman"/>
          <w:szCs w:val="24"/>
        </w:rPr>
        <w:t>As required by § </w:t>
      </w:r>
      <w:hyperlink r:id="rId284" w:history="1">
        <w:r w:rsidRPr="00CA1BC1">
          <w:rPr>
            <w:rFonts w:eastAsia="Times New Roman" w:cs="Times New Roman"/>
            <w:szCs w:val="24"/>
            <w:bdr w:val="none" w:sz="0" w:space="0" w:color="auto" w:frame="1"/>
          </w:rPr>
          <w:t>22.1-18</w:t>
        </w:r>
      </w:hyperlink>
      <w:r w:rsidRPr="00CA1BC1">
        <w:rPr>
          <w:rFonts w:eastAsia="Times New Roman" w:cs="Times New Roman"/>
          <w:szCs w:val="24"/>
        </w:rPr>
        <w:t>, the Board of Education shall submit to the Governor and the General Assembly a report on the condition and needs of public education in the Commonwealth and shall identify any school divisions and the specific schools therein that have failed to establish and maintain schools meeting the existing prescribed Standards of Quality.</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 xml:space="preserve">The Board of Education shall have authority to seek school division compliance with the foregoing Standards of Quality. When the Board of Education determines that a school division has failed or refused, and continues to fail or refuse, to comply with any such Standard, the Board may petition the circuit court having jurisdiction in the school division to mandate or </w:t>
      </w:r>
      <w:r w:rsidRPr="00CA1BC1">
        <w:rPr>
          <w:rFonts w:eastAsia="Times New Roman" w:cs="Times New Roman"/>
          <w:szCs w:val="24"/>
        </w:rPr>
        <w:lastRenderedPageBreak/>
        <w:t>otherwise enforce compliance with such standard, including the development or implementation of any required corrective action plan that a local school board has failed or refused to develop or implement in a timely manner.</w:t>
      </w:r>
    </w:p>
    <w:p w:rsidR="00CA1BC1" w:rsidRPr="00CA1BC1" w:rsidRDefault="00CA1BC1" w:rsidP="00CA1BC1">
      <w:pPr>
        <w:spacing w:after="0" w:line="240" w:lineRule="auto"/>
        <w:textAlignment w:val="baseline"/>
        <w:rPr>
          <w:rFonts w:eastAsia="Times New Roman" w:cs="Times New Roman"/>
          <w:szCs w:val="24"/>
        </w:rPr>
      </w:pPr>
      <w:proofErr w:type="gramStart"/>
      <w:r w:rsidRPr="00CA1BC1">
        <w:rPr>
          <w:rFonts w:eastAsia="Times New Roman" w:cs="Times New Roman"/>
          <w:szCs w:val="24"/>
        </w:rPr>
        <w:t>1988</w:t>
      </w:r>
      <w:proofErr w:type="gramEnd"/>
      <w:r w:rsidRPr="00CA1BC1">
        <w:rPr>
          <w:rFonts w:eastAsia="Times New Roman" w:cs="Times New Roman"/>
          <w:szCs w:val="24"/>
        </w:rPr>
        <w:t>, cc. 645, 682; 1990, cc. 820, 839; 2004, cc. </w:t>
      </w:r>
      <w:hyperlink r:id="rId285" w:history="1">
        <w:r w:rsidRPr="00CA1BC1">
          <w:rPr>
            <w:rFonts w:eastAsia="Times New Roman" w:cs="Times New Roman"/>
            <w:szCs w:val="24"/>
            <w:bdr w:val="none" w:sz="0" w:space="0" w:color="auto" w:frame="1"/>
          </w:rPr>
          <w:t>939</w:t>
        </w:r>
      </w:hyperlink>
      <w:r w:rsidRPr="00CA1BC1">
        <w:rPr>
          <w:rFonts w:eastAsia="Times New Roman" w:cs="Times New Roman"/>
          <w:szCs w:val="24"/>
        </w:rPr>
        <w:t>, </w:t>
      </w:r>
      <w:hyperlink r:id="rId286" w:history="1">
        <w:r w:rsidRPr="00CA1BC1">
          <w:rPr>
            <w:rFonts w:eastAsia="Times New Roman" w:cs="Times New Roman"/>
            <w:szCs w:val="24"/>
            <w:bdr w:val="none" w:sz="0" w:space="0" w:color="auto" w:frame="1"/>
          </w:rPr>
          <w:t>955</w:t>
        </w:r>
      </w:hyperlink>
      <w:r w:rsidRPr="00CA1BC1">
        <w:rPr>
          <w:rFonts w:eastAsia="Times New Roman" w:cs="Times New Roman"/>
          <w:szCs w:val="24"/>
        </w:rPr>
        <w:t>, </w:t>
      </w:r>
      <w:hyperlink r:id="rId287" w:history="1">
        <w:r w:rsidRPr="00CA1BC1">
          <w:rPr>
            <w:rFonts w:eastAsia="Times New Roman" w:cs="Times New Roman"/>
            <w:szCs w:val="24"/>
            <w:bdr w:val="none" w:sz="0" w:space="0" w:color="auto" w:frame="1"/>
          </w:rPr>
          <w:t>965</w:t>
        </w:r>
      </w:hyperlink>
      <w:r w:rsidRPr="00CA1BC1">
        <w:rPr>
          <w:rFonts w:eastAsia="Times New Roman" w:cs="Times New Roman"/>
          <w:szCs w:val="24"/>
        </w:rPr>
        <w:t>; 2005, cc. </w:t>
      </w:r>
      <w:hyperlink r:id="rId288" w:history="1">
        <w:r w:rsidRPr="00CA1BC1">
          <w:rPr>
            <w:rFonts w:eastAsia="Times New Roman" w:cs="Times New Roman"/>
            <w:szCs w:val="24"/>
            <w:bdr w:val="none" w:sz="0" w:space="0" w:color="auto" w:frame="1"/>
          </w:rPr>
          <w:t>331</w:t>
        </w:r>
      </w:hyperlink>
      <w:r w:rsidRPr="00CA1BC1">
        <w:rPr>
          <w:rFonts w:eastAsia="Times New Roman" w:cs="Times New Roman"/>
          <w:szCs w:val="24"/>
        </w:rPr>
        <w:t>, </w:t>
      </w:r>
      <w:hyperlink r:id="rId289" w:history="1">
        <w:r w:rsidRPr="00CA1BC1">
          <w:rPr>
            <w:rFonts w:eastAsia="Times New Roman" w:cs="Times New Roman"/>
            <w:szCs w:val="24"/>
            <w:bdr w:val="none" w:sz="0" w:space="0" w:color="auto" w:frame="1"/>
          </w:rPr>
          <w:t>450</w:t>
        </w:r>
      </w:hyperlink>
      <w:r w:rsidRPr="00CA1BC1">
        <w:rPr>
          <w:rFonts w:eastAsia="Times New Roman" w:cs="Times New Roman"/>
          <w:szCs w:val="24"/>
        </w:rPr>
        <w:t>.</w:t>
      </w:r>
    </w:p>
    <w:p w:rsidR="00CA1BC1" w:rsidRPr="00F3758E" w:rsidRDefault="00CA1BC1" w:rsidP="00CA1BC1">
      <w:pPr>
        <w:pStyle w:val="Heading2"/>
        <w:rPr>
          <w:rFonts w:cs="Times New Roman"/>
          <w:color w:val="auto"/>
          <w:szCs w:val="24"/>
        </w:rPr>
      </w:pPr>
      <w:r w:rsidRPr="00F3758E">
        <w:rPr>
          <w:color w:val="auto"/>
        </w:rPr>
        <w:t>§ 22.1-253.13:9. Exemplar School Recognition Program.</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Schools and local school divisions shall be recognized by the Board of Education in accordance with guidelines it shall establish for the Exemplar School Recognition Program (the Program). The Program shall be designed to recognize and reward (</w:t>
      </w:r>
      <w:proofErr w:type="spellStart"/>
      <w:r w:rsidRPr="00CA1BC1">
        <w:rPr>
          <w:rFonts w:eastAsia="Times New Roman" w:cs="Times New Roman"/>
          <w:szCs w:val="24"/>
        </w:rPr>
        <w:t>i</w:t>
      </w:r>
      <w:proofErr w:type="spellEnd"/>
      <w:r w:rsidRPr="00CA1BC1">
        <w:rPr>
          <w:rFonts w:eastAsia="Times New Roman" w:cs="Times New Roman"/>
          <w:szCs w:val="24"/>
        </w:rPr>
        <w:t>) schools that exceed Board-established requirements or show continuous improvement on academic and school quality indicators and (ii) schools, school divisions, and school boards that implement effective, innovative practices that are aligned with the Commonwealth's goals for public education. Such recognition may include:</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1. Public announcements recognizing individual schools and divisions;</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2. Tangible rewards;</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3. Waivers of certain board regulations;</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4. Exemptions from certain reporting requirements; or</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5. Other commendations deemed appropriate to recognize high achievement.</w:t>
      </w:r>
    </w:p>
    <w:p w:rsidR="00CA1BC1" w:rsidRPr="00CA1BC1" w:rsidRDefault="00CA1BC1" w:rsidP="00CA1BC1">
      <w:pPr>
        <w:spacing w:after="192" w:line="240" w:lineRule="auto"/>
        <w:textAlignment w:val="baseline"/>
        <w:rPr>
          <w:rFonts w:eastAsia="Times New Roman" w:cs="Times New Roman"/>
          <w:szCs w:val="24"/>
        </w:rPr>
      </w:pPr>
      <w:r w:rsidRPr="00CA1BC1">
        <w:rPr>
          <w:rFonts w:eastAsia="Times New Roman" w:cs="Times New Roman"/>
          <w:szCs w:val="24"/>
        </w:rPr>
        <w:t>In addition to Board recognition, local school boards shall adopt policies to recognize individual schools through public announcements or media releases as well as other appropriate recognition.</w:t>
      </w:r>
    </w:p>
    <w:p w:rsidR="00CA1BC1" w:rsidRPr="00CA1BC1" w:rsidRDefault="00CA1BC1" w:rsidP="00CA1BC1">
      <w:pPr>
        <w:spacing w:after="0" w:line="240" w:lineRule="auto"/>
        <w:textAlignment w:val="baseline"/>
        <w:rPr>
          <w:rFonts w:eastAsia="Times New Roman" w:cs="Times New Roman"/>
          <w:szCs w:val="24"/>
        </w:rPr>
      </w:pPr>
      <w:r w:rsidRPr="00CA1BC1">
        <w:rPr>
          <w:rFonts w:eastAsia="Times New Roman" w:cs="Times New Roman"/>
          <w:szCs w:val="24"/>
        </w:rPr>
        <w:t>2010, cc. </w:t>
      </w:r>
      <w:hyperlink r:id="rId290" w:history="1">
        <w:r w:rsidRPr="00CA1BC1">
          <w:rPr>
            <w:rFonts w:eastAsia="Times New Roman" w:cs="Times New Roman"/>
            <w:szCs w:val="24"/>
            <w:bdr w:val="none" w:sz="0" w:space="0" w:color="auto" w:frame="1"/>
          </w:rPr>
          <w:t>38</w:t>
        </w:r>
      </w:hyperlink>
      <w:r w:rsidRPr="00CA1BC1">
        <w:rPr>
          <w:rFonts w:eastAsia="Times New Roman" w:cs="Times New Roman"/>
          <w:szCs w:val="24"/>
        </w:rPr>
        <w:t>, </w:t>
      </w:r>
      <w:hyperlink r:id="rId291" w:history="1">
        <w:r w:rsidRPr="00CA1BC1">
          <w:rPr>
            <w:rFonts w:eastAsia="Times New Roman" w:cs="Times New Roman"/>
            <w:szCs w:val="24"/>
            <w:bdr w:val="none" w:sz="0" w:space="0" w:color="auto" w:frame="1"/>
          </w:rPr>
          <w:t>103</w:t>
        </w:r>
      </w:hyperlink>
      <w:r w:rsidRPr="00CA1BC1">
        <w:rPr>
          <w:rFonts w:eastAsia="Times New Roman" w:cs="Times New Roman"/>
          <w:szCs w:val="24"/>
        </w:rPr>
        <w:t>; 2011, cc. </w:t>
      </w:r>
      <w:hyperlink r:id="rId292" w:history="1">
        <w:r w:rsidRPr="00CA1BC1">
          <w:rPr>
            <w:rFonts w:eastAsia="Times New Roman" w:cs="Times New Roman"/>
            <w:szCs w:val="24"/>
            <w:bdr w:val="none" w:sz="0" w:space="0" w:color="auto" w:frame="1"/>
          </w:rPr>
          <w:t>119</w:t>
        </w:r>
      </w:hyperlink>
      <w:r w:rsidRPr="00CA1BC1">
        <w:rPr>
          <w:rFonts w:eastAsia="Times New Roman" w:cs="Times New Roman"/>
          <w:szCs w:val="24"/>
        </w:rPr>
        <w:t>, </w:t>
      </w:r>
      <w:hyperlink r:id="rId293" w:history="1">
        <w:r w:rsidRPr="00CA1BC1">
          <w:rPr>
            <w:rFonts w:eastAsia="Times New Roman" w:cs="Times New Roman"/>
            <w:szCs w:val="24"/>
            <w:bdr w:val="none" w:sz="0" w:space="0" w:color="auto" w:frame="1"/>
          </w:rPr>
          <w:t>145</w:t>
        </w:r>
      </w:hyperlink>
      <w:r w:rsidRPr="00CA1BC1">
        <w:rPr>
          <w:rFonts w:eastAsia="Times New Roman" w:cs="Times New Roman"/>
          <w:szCs w:val="24"/>
        </w:rPr>
        <w:t>; 2012, c. </w:t>
      </w:r>
      <w:hyperlink r:id="rId294" w:history="1">
        <w:r w:rsidRPr="00CA1BC1">
          <w:rPr>
            <w:rFonts w:eastAsia="Times New Roman" w:cs="Times New Roman"/>
            <w:szCs w:val="24"/>
            <w:bdr w:val="none" w:sz="0" w:space="0" w:color="auto" w:frame="1"/>
          </w:rPr>
          <w:t>794</w:t>
        </w:r>
      </w:hyperlink>
      <w:r w:rsidRPr="00CA1BC1">
        <w:rPr>
          <w:rFonts w:eastAsia="Times New Roman" w:cs="Times New Roman"/>
          <w:szCs w:val="24"/>
        </w:rPr>
        <w:t>; 2015, c. </w:t>
      </w:r>
      <w:hyperlink r:id="rId295" w:history="1">
        <w:r w:rsidRPr="00CA1BC1">
          <w:rPr>
            <w:rFonts w:eastAsia="Times New Roman" w:cs="Times New Roman"/>
            <w:szCs w:val="24"/>
            <w:bdr w:val="none" w:sz="0" w:space="0" w:color="auto" w:frame="1"/>
          </w:rPr>
          <w:t>566</w:t>
        </w:r>
      </w:hyperlink>
      <w:r w:rsidRPr="00CA1BC1">
        <w:rPr>
          <w:rFonts w:eastAsia="Times New Roman" w:cs="Times New Roman"/>
          <w:szCs w:val="24"/>
        </w:rPr>
        <w:t>; 2019, c. </w:t>
      </w:r>
      <w:hyperlink r:id="rId296" w:history="1">
        <w:r w:rsidRPr="00CA1BC1">
          <w:rPr>
            <w:rFonts w:eastAsia="Times New Roman" w:cs="Times New Roman"/>
            <w:szCs w:val="24"/>
            <w:bdr w:val="none" w:sz="0" w:space="0" w:color="auto" w:frame="1"/>
          </w:rPr>
          <w:t>576</w:t>
        </w:r>
      </w:hyperlink>
      <w:r w:rsidRPr="00CA1BC1">
        <w:rPr>
          <w:rFonts w:eastAsia="Times New Roman" w:cs="Times New Roman"/>
          <w:szCs w:val="24"/>
        </w:rPr>
        <w:t>; 2020, c. </w:t>
      </w:r>
      <w:hyperlink r:id="rId297" w:history="1">
        <w:r w:rsidRPr="00CA1BC1">
          <w:rPr>
            <w:rFonts w:eastAsia="Times New Roman" w:cs="Times New Roman"/>
            <w:szCs w:val="24"/>
            <w:bdr w:val="none" w:sz="0" w:space="0" w:color="auto" w:frame="1"/>
          </w:rPr>
          <w:t>688</w:t>
        </w:r>
      </w:hyperlink>
      <w:r w:rsidRPr="00CA1BC1">
        <w:rPr>
          <w:rFonts w:eastAsia="Times New Roman" w:cs="Times New Roman"/>
          <w:szCs w:val="24"/>
        </w:rPr>
        <w:t>.</w:t>
      </w:r>
    </w:p>
    <w:p w:rsidR="00CA1BC1" w:rsidRPr="00F3758E" w:rsidRDefault="00CA1BC1" w:rsidP="00CA1BC1">
      <w:pPr>
        <w:pStyle w:val="Heading2"/>
        <w:rPr>
          <w:rFonts w:cs="Times New Roman"/>
          <w:color w:val="auto"/>
          <w:szCs w:val="24"/>
        </w:rPr>
      </w:pPr>
      <w:r w:rsidRPr="00F3758E">
        <w:rPr>
          <w:color w:val="auto"/>
        </w:rPr>
        <w:t>§ 22.1-253.13:10. Repealed.</w:t>
      </w:r>
    </w:p>
    <w:p w:rsidR="00CA1BC1" w:rsidRPr="00CA1BC1" w:rsidRDefault="00CA1BC1" w:rsidP="00CA1BC1">
      <w:pPr>
        <w:spacing w:after="0" w:line="240" w:lineRule="auto"/>
        <w:textAlignment w:val="baseline"/>
        <w:rPr>
          <w:rFonts w:eastAsia="Times New Roman" w:cs="Times New Roman"/>
          <w:szCs w:val="24"/>
        </w:rPr>
      </w:pPr>
      <w:r w:rsidRPr="00CA1BC1">
        <w:rPr>
          <w:rFonts w:eastAsia="Times New Roman" w:cs="Times New Roman"/>
          <w:szCs w:val="24"/>
        </w:rPr>
        <w:t>Repealed by Acts 2019, c. </w:t>
      </w:r>
      <w:hyperlink r:id="rId298" w:history="1">
        <w:r w:rsidRPr="00CA1BC1">
          <w:rPr>
            <w:rFonts w:eastAsia="Times New Roman" w:cs="Times New Roman"/>
            <w:szCs w:val="24"/>
            <w:bdr w:val="none" w:sz="0" w:space="0" w:color="auto" w:frame="1"/>
          </w:rPr>
          <w:t>771</w:t>
        </w:r>
      </w:hyperlink>
      <w:r w:rsidRPr="00CA1BC1">
        <w:rPr>
          <w:rFonts w:eastAsia="Times New Roman" w:cs="Times New Roman"/>
          <w:szCs w:val="24"/>
        </w:rPr>
        <w:t>, cl. 2.</w:t>
      </w:r>
    </w:p>
    <w:p w:rsidR="00124E02" w:rsidRPr="00F3758E" w:rsidRDefault="00124E02"/>
    <w:sectPr w:rsidR="00124E02" w:rsidRPr="00F3758E" w:rsidSect="00F3758E">
      <w:headerReference w:type="default" r:id="rId29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2B5" w:rsidRDefault="00BC72B5" w:rsidP="00F3758E">
      <w:pPr>
        <w:spacing w:after="0" w:line="240" w:lineRule="auto"/>
      </w:pPr>
      <w:r>
        <w:separator/>
      </w:r>
    </w:p>
  </w:endnote>
  <w:endnote w:type="continuationSeparator" w:id="0">
    <w:p w:rsidR="00BC72B5" w:rsidRDefault="00BC72B5" w:rsidP="00F37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2B5" w:rsidRDefault="00BC72B5" w:rsidP="00F3758E">
      <w:pPr>
        <w:spacing w:after="0" w:line="240" w:lineRule="auto"/>
      </w:pPr>
      <w:r>
        <w:separator/>
      </w:r>
    </w:p>
  </w:footnote>
  <w:footnote w:type="continuationSeparator" w:id="0">
    <w:p w:rsidR="00BC72B5" w:rsidRDefault="00BC72B5" w:rsidP="00F37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58E" w:rsidRPr="00F3758E" w:rsidRDefault="00F3758E" w:rsidP="00F3758E">
    <w:pPr>
      <w:tabs>
        <w:tab w:val="center" w:pos="4680"/>
        <w:tab w:val="right" w:pos="9360"/>
      </w:tabs>
      <w:spacing w:after="0" w:line="240" w:lineRule="auto"/>
      <w:jc w:val="right"/>
      <w:rPr>
        <w:rFonts w:eastAsia="Times New Roman" w:cs="Times New Roman"/>
        <w:szCs w:val="24"/>
      </w:rPr>
    </w:pPr>
    <w:r w:rsidRPr="00F3758E">
      <w:rPr>
        <w:rFonts w:eastAsia="Times New Roman" w:cs="Times New Roman"/>
        <w:szCs w:val="24"/>
      </w:rPr>
      <w:t xml:space="preserve">Attachment A, Supt’s Memo No. </w:t>
    </w:r>
    <w:r w:rsidR="003E0CE3">
      <w:rPr>
        <w:rFonts w:eastAsia="Times New Roman" w:cs="Times New Roman"/>
        <w:szCs w:val="24"/>
      </w:rPr>
      <w:t>258</w:t>
    </w:r>
    <w:r w:rsidRPr="00F3758E">
      <w:rPr>
        <w:rFonts w:eastAsia="Times New Roman" w:cs="Times New Roman"/>
        <w:szCs w:val="24"/>
      </w:rPr>
      <w:t>-</w:t>
    </w:r>
    <w:r>
      <w:rPr>
        <w:rFonts w:eastAsia="Times New Roman" w:cs="Times New Roman"/>
        <w:szCs w:val="24"/>
      </w:rPr>
      <w:t>20</w:t>
    </w:r>
  </w:p>
  <w:p w:rsidR="00F3758E" w:rsidRPr="00F3758E" w:rsidRDefault="003E0CE3" w:rsidP="00F3758E">
    <w:pPr>
      <w:tabs>
        <w:tab w:val="center" w:pos="4680"/>
        <w:tab w:val="right" w:pos="9360"/>
      </w:tabs>
      <w:spacing w:after="0" w:line="240" w:lineRule="auto"/>
      <w:jc w:val="right"/>
      <w:rPr>
        <w:rFonts w:eastAsia="Times New Roman" w:cs="Times New Roman"/>
        <w:szCs w:val="24"/>
      </w:rPr>
    </w:pPr>
    <w:r>
      <w:rPr>
        <w:rFonts w:eastAsia="Times New Roman" w:cs="Times New Roman"/>
        <w:szCs w:val="24"/>
      </w:rPr>
      <w:t>October 2</w:t>
    </w:r>
    <w:r w:rsidR="00F3758E">
      <w:rPr>
        <w:rFonts w:eastAsia="Times New Roman" w:cs="Times New Roman"/>
        <w:szCs w:val="24"/>
      </w:rPr>
      <w:t>, 2020</w:t>
    </w:r>
  </w:p>
  <w:p w:rsidR="00F3758E" w:rsidRDefault="00F375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BC1"/>
    <w:rsid w:val="00124E02"/>
    <w:rsid w:val="00185116"/>
    <w:rsid w:val="003E0CE3"/>
    <w:rsid w:val="00474FC6"/>
    <w:rsid w:val="00BC72B5"/>
    <w:rsid w:val="00CA1BC1"/>
    <w:rsid w:val="00F37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08BC6-91AD-4A05-B341-8ACCFCEC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1BC1"/>
    <w:pPr>
      <w:spacing w:after="24" w:line="288" w:lineRule="atLeast"/>
      <w:textAlignment w:val="baseline"/>
      <w:outlineLvl w:val="0"/>
    </w:pPr>
    <w:rPr>
      <w:rFonts w:ascii="Times" w:eastAsia="Times New Roman" w:hAnsi="Times" w:cs="Times"/>
      <w:color w:val="444444"/>
      <w:sz w:val="31"/>
      <w:szCs w:val="31"/>
    </w:rPr>
  </w:style>
  <w:style w:type="paragraph" w:styleId="Heading2">
    <w:name w:val="heading 2"/>
    <w:basedOn w:val="Normal"/>
    <w:link w:val="Heading2Char"/>
    <w:uiPriority w:val="9"/>
    <w:qFormat/>
    <w:rsid w:val="00CA1BC1"/>
    <w:pPr>
      <w:spacing w:before="240" w:after="0" w:line="240" w:lineRule="auto"/>
      <w:outlineLvl w:val="1"/>
    </w:pPr>
    <w:rPr>
      <w:rFonts w:ascii="Times" w:eastAsia="Times New Roman" w:hAnsi="Times" w:cs="Times"/>
      <w:b/>
      <w:bCs/>
      <w:color w:val="444444"/>
      <w:sz w:val="27"/>
      <w:szCs w:val="27"/>
      <w:bdr w:val="none" w:sz="0" w:space="0" w:color="auto" w:fram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1BC1"/>
    <w:rPr>
      <w:rFonts w:ascii="Times" w:eastAsia="Times New Roman" w:hAnsi="Times" w:cs="Times"/>
      <w:b/>
      <w:bCs/>
      <w:color w:val="444444"/>
      <w:sz w:val="27"/>
      <w:szCs w:val="27"/>
      <w:bdr w:val="none" w:sz="0" w:space="0" w:color="auto" w:frame="1"/>
    </w:rPr>
  </w:style>
  <w:style w:type="numbering" w:customStyle="1" w:styleId="NoList1">
    <w:name w:val="No List1"/>
    <w:next w:val="NoList"/>
    <w:uiPriority w:val="99"/>
    <w:semiHidden/>
    <w:unhideWhenUsed/>
    <w:rsid w:val="00CA1BC1"/>
  </w:style>
  <w:style w:type="paragraph" w:customStyle="1" w:styleId="msonormal0">
    <w:name w:val="msonormal"/>
    <w:basedOn w:val="Normal"/>
    <w:rsid w:val="00CA1BC1"/>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CA1BC1"/>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CA1BC1"/>
    <w:rPr>
      <w:color w:val="0000FF"/>
      <w:u w:val="single"/>
    </w:rPr>
  </w:style>
  <w:style w:type="character" w:styleId="FollowedHyperlink">
    <w:name w:val="FollowedHyperlink"/>
    <w:basedOn w:val="DefaultParagraphFont"/>
    <w:uiPriority w:val="99"/>
    <w:semiHidden/>
    <w:unhideWhenUsed/>
    <w:rsid w:val="00CA1BC1"/>
    <w:rPr>
      <w:color w:val="800080"/>
      <w:u w:val="single"/>
    </w:rPr>
  </w:style>
  <w:style w:type="character" w:customStyle="1" w:styleId="Heading1Char">
    <w:name w:val="Heading 1 Char"/>
    <w:basedOn w:val="DefaultParagraphFont"/>
    <w:link w:val="Heading1"/>
    <w:uiPriority w:val="9"/>
    <w:rsid w:val="00CA1BC1"/>
    <w:rPr>
      <w:rFonts w:ascii="Times" w:eastAsia="Times New Roman" w:hAnsi="Times" w:cs="Times"/>
      <w:color w:val="444444"/>
      <w:sz w:val="31"/>
      <w:szCs w:val="31"/>
    </w:rPr>
  </w:style>
  <w:style w:type="paragraph" w:styleId="Header">
    <w:name w:val="header"/>
    <w:basedOn w:val="Normal"/>
    <w:link w:val="HeaderChar"/>
    <w:uiPriority w:val="99"/>
    <w:unhideWhenUsed/>
    <w:rsid w:val="00F37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58E"/>
  </w:style>
  <w:style w:type="paragraph" w:styleId="Footer">
    <w:name w:val="footer"/>
    <w:basedOn w:val="Normal"/>
    <w:link w:val="FooterChar"/>
    <w:uiPriority w:val="99"/>
    <w:unhideWhenUsed/>
    <w:rsid w:val="00F37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05834">
      <w:bodyDiv w:val="1"/>
      <w:marLeft w:val="0"/>
      <w:marRight w:val="0"/>
      <w:marTop w:val="0"/>
      <w:marBottom w:val="0"/>
      <w:divBdr>
        <w:top w:val="none" w:sz="0" w:space="0" w:color="auto"/>
        <w:left w:val="none" w:sz="0" w:space="0" w:color="auto"/>
        <w:bottom w:val="none" w:sz="0" w:space="0" w:color="auto"/>
        <w:right w:val="none" w:sz="0" w:space="0" w:color="auto"/>
      </w:divBdr>
    </w:div>
    <w:div w:id="136302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aw.lis.virginia.gov/vacode/30-231.2/" TargetMode="External"/><Relationship Id="rId299" Type="http://schemas.openxmlformats.org/officeDocument/2006/relationships/header" Target="header1.xml"/><Relationship Id="rId21" Type="http://schemas.openxmlformats.org/officeDocument/2006/relationships/hyperlink" Target="http://lis.virginia.gov/cgi-bin/legp604.exe?971+ful+CHAP0829" TargetMode="External"/><Relationship Id="rId42" Type="http://schemas.openxmlformats.org/officeDocument/2006/relationships/hyperlink" Target="http://lis.virginia.gov/cgi-bin/legp604.exe?001+ful+CHAP0684" TargetMode="External"/><Relationship Id="rId63" Type="http://schemas.openxmlformats.org/officeDocument/2006/relationships/hyperlink" Target="http://lis.virginia.gov/cgi-bin/legp604.exe?131+ful+CHAP0123" TargetMode="External"/><Relationship Id="rId84" Type="http://schemas.openxmlformats.org/officeDocument/2006/relationships/hyperlink" Target="https://law.lis.virginia.gov/vacode/22.1-254.1/" TargetMode="External"/><Relationship Id="rId138" Type="http://schemas.openxmlformats.org/officeDocument/2006/relationships/hyperlink" Target="http://lis.virginia.gov/cgi-bin/legp604.exe?001+ful+CHAP0750" TargetMode="External"/><Relationship Id="rId159" Type="http://schemas.openxmlformats.org/officeDocument/2006/relationships/hyperlink" Target="http://lis.virginia.gov/cgi-bin/legp604.exe?061+ful+CHAP0038" TargetMode="External"/><Relationship Id="rId170" Type="http://schemas.openxmlformats.org/officeDocument/2006/relationships/hyperlink" Target="http://lis.virginia.gov/cgi-bin/legp604.exe?131+ful+CHAP0571" TargetMode="External"/><Relationship Id="rId191" Type="http://schemas.openxmlformats.org/officeDocument/2006/relationships/hyperlink" Target="https://law.lis.virginia.gov/vacode/22.1-213/" TargetMode="External"/><Relationship Id="rId205" Type="http://schemas.openxmlformats.org/officeDocument/2006/relationships/hyperlink" Target="http://lis.virginia.gov/cgi-bin/legp604.exe?041+ful+CHAP0509" TargetMode="External"/><Relationship Id="rId226" Type="http://schemas.openxmlformats.org/officeDocument/2006/relationships/hyperlink" Target="http://lis.virginia.gov/cgi-bin/legp604.exe?131+ful+CHAP0498" TargetMode="External"/><Relationship Id="rId247" Type="http://schemas.openxmlformats.org/officeDocument/2006/relationships/hyperlink" Target="http://lis.virginia.gov/cgi-bin/legp604.exe?201+ful+CHAP0580" TargetMode="External"/><Relationship Id="rId107" Type="http://schemas.openxmlformats.org/officeDocument/2006/relationships/hyperlink" Target="http://lis.virginia.gov/cgi-bin/legp604.exe?201+ful+CHAP0582" TargetMode="External"/><Relationship Id="rId268" Type="http://schemas.openxmlformats.org/officeDocument/2006/relationships/hyperlink" Target="http://lis.virginia.gov/cgi-bin/legp604.exe?011+ful+CHAP0484" TargetMode="External"/><Relationship Id="rId289" Type="http://schemas.openxmlformats.org/officeDocument/2006/relationships/hyperlink" Target="http://lis.virginia.gov/cgi-bin/legp604.exe?051+ful+CHAP0450" TargetMode="External"/><Relationship Id="rId11" Type="http://schemas.openxmlformats.org/officeDocument/2006/relationships/hyperlink" Target="https://law.lis.virginia.gov/vacode/22.1-254.01/" TargetMode="External"/><Relationship Id="rId32" Type="http://schemas.openxmlformats.org/officeDocument/2006/relationships/hyperlink" Target="http://lis.virginia.gov/cgi-bin/legp604.exe?991+ful+CHAP0461" TargetMode="External"/><Relationship Id="rId53" Type="http://schemas.openxmlformats.org/officeDocument/2006/relationships/hyperlink" Target="http://lis.virginia.gov/cgi-bin/legp604.exe?041+ful+CHAP0848" TargetMode="External"/><Relationship Id="rId74" Type="http://schemas.openxmlformats.org/officeDocument/2006/relationships/hyperlink" Target="http://lis.virginia.gov/cgi-bin/legp604.exe?171+ful+CHAP0100" TargetMode="External"/><Relationship Id="rId128" Type="http://schemas.openxmlformats.org/officeDocument/2006/relationships/hyperlink" Target="http://lis.virginia.gov/cgi-bin/legp604.exe?981+ful+CHAP0602" TargetMode="External"/><Relationship Id="rId149" Type="http://schemas.openxmlformats.org/officeDocument/2006/relationships/hyperlink" Target="http://lis.virginia.gov/cgi-bin/legp604.exe?031+ful+CHAP1004" TargetMode="External"/><Relationship Id="rId5" Type="http://schemas.openxmlformats.org/officeDocument/2006/relationships/endnotes" Target="endnotes.xml"/><Relationship Id="rId95" Type="http://schemas.openxmlformats.org/officeDocument/2006/relationships/hyperlink" Target="http://lis.virginia.gov/cgi-bin/legp604.exe?121+ful+CHAP0507" TargetMode="External"/><Relationship Id="rId160" Type="http://schemas.openxmlformats.org/officeDocument/2006/relationships/hyperlink" Target="http://lis.virginia.gov/cgi-bin/legp604.exe?061+ful+CHAP0095" TargetMode="External"/><Relationship Id="rId181" Type="http://schemas.openxmlformats.org/officeDocument/2006/relationships/hyperlink" Target="http://lis.virginia.gov/cgi-bin/legp604.exe?151+ful+CHAP0566" TargetMode="External"/><Relationship Id="rId216" Type="http://schemas.openxmlformats.org/officeDocument/2006/relationships/hyperlink" Target="http://lis.virginia.gov/cgi-bin/legp604.exe?081+ful+CHAP0351" TargetMode="External"/><Relationship Id="rId237" Type="http://schemas.openxmlformats.org/officeDocument/2006/relationships/hyperlink" Target="http://lis.virginia.gov/cgi-bin/legp604.exe?161+ful+CHAP0720" TargetMode="External"/><Relationship Id="rId258" Type="http://schemas.openxmlformats.org/officeDocument/2006/relationships/hyperlink" Target="http://lis.virginia.gov/cgi-bin/legp604.exe?041+ful+CHAP0955" TargetMode="External"/><Relationship Id="rId279" Type="http://schemas.openxmlformats.org/officeDocument/2006/relationships/hyperlink" Target="http://lis.virginia.gov/cgi-bin/legp604.exe?071+ful+CHAP0234" TargetMode="External"/><Relationship Id="rId22" Type="http://schemas.openxmlformats.org/officeDocument/2006/relationships/hyperlink" Target="http://lis.virginia.gov/cgi-bin/legp604.exe?981+ful+CHAP0103" TargetMode="External"/><Relationship Id="rId43" Type="http://schemas.openxmlformats.org/officeDocument/2006/relationships/hyperlink" Target="http://lis.virginia.gov/cgi-bin/legp604.exe?001+ful+CHAP0710" TargetMode="External"/><Relationship Id="rId64" Type="http://schemas.openxmlformats.org/officeDocument/2006/relationships/hyperlink" Target="http://lis.virginia.gov/cgi-bin/legp604.exe?131+ful+CHAP0157" TargetMode="External"/><Relationship Id="rId118" Type="http://schemas.openxmlformats.org/officeDocument/2006/relationships/hyperlink" Target="https://law.lis.virginia.gov/vacode/22.1-19.1/" TargetMode="External"/><Relationship Id="rId139" Type="http://schemas.openxmlformats.org/officeDocument/2006/relationships/hyperlink" Target="http://lis.virginia.gov/cgi-bin/legp604.exe?001+ful+CHAP0752" TargetMode="External"/><Relationship Id="rId290" Type="http://schemas.openxmlformats.org/officeDocument/2006/relationships/hyperlink" Target="http://lis.virginia.gov/cgi-bin/legp604.exe?101+ful+CHAP0038" TargetMode="External"/><Relationship Id="rId85" Type="http://schemas.openxmlformats.org/officeDocument/2006/relationships/hyperlink" Target="http://lis.virginia.gov/cgi-bin/legp604.exe?971+ful+CHAP0828" TargetMode="External"/><Relationship Id="rId150" Type="http://schemas.openxmlformats.org/officeDocument/2006/relationships/hyperlink" Target="http://lis.virginia.gov/cgi-bin/legp604.exe?041+ful+CHAP0472" TargetMode="External"/><Relationship Id="rId171" Type="http://schemas.openxmlformats.org/officeDocument/2006/relationships/hyperlink" Target="http://lis.virginia.gov/cgi-bin/legp604.exe?131+ful+CHAP0584" TargetMode="External"/><Relationship Id="rId192" Type="http://schemas.openxmlformats.org/officeDocument/2006/relationships/hyperlink" Target="https://law.lis.virginia.gov/vacode/22.1-1/" TargetMode="External"/><Relationship Id="rId206" Type="http://schemas.openxmlformats.org/officeDocument/2006/relationships/hyperlink" Target="http://lis.virginia.gov/cgi-bin/legp604.exe?041+ful+CHAP0939" TargetMode="External"/><Relationship Id="rId227" Type="http://schemas.openxmlformats.org/officeDocument/2006/relationships/hyperlink" Target="http://lis.virginia.gov/cgi-bin/legp604.exe?131+ful+CHAP0530" TargetMode="External"/><Relationship Id="rId248" Type="http://schemas.openxmlformats.org/officeDocument/2006/relationships/hyperlink" Target="http://lis.virginia.gov/cgi-bin/legp604.exe?201+ful+CHAP0874" TargetMode="External"/><Relationship Id="rId269" Type="http://schemas.openxmlformats.org/officeDocument/2006/relationships/hyperlink" Target="http://lis.virginia.gov/cgi-bin/legp604.exe?041+ful+CHAP0939" TargetMode="External"/><Relationship Id="rId12" Type="http://schemas.openxmlformats.org/officeDocument/2006/relationships/hyperlink" Target="https://law.lis.virginia.gov/vacode/22.1-199.2/" TargetMode="External"/><Relationship Id="rId33" Type="http://schemas.openxmlformats.org/officeDocument/2006/relationships/hyperlink" Target="http://lis.virginia.gov/cgi-bin/legp604.exe?991+ful+CHAP0488" TargetMode="External"/><Relationship Id="rId108" Type="http://schemas.openxmlformats.org/officeDocument/2006/relationships/hyperlink" Target="http://lis.virginia.gov/cgi-bin/legp604.exe?201+ful+CHAP0635" TargetMode="External"/><Relationship Id="rId129" Type="http://schemas.openxmlformats.org/officeDocument/2006/relationships/hyperlink" Target="http://lis.virginia.gov/cgi-bin/legp604.exe?981+ful+CHAP0627" TargetMode="External"/><Relationship Id="rId280" Type="http://schemas.openxmlformats.org/officeDocument/2006/relationships/hyperlink" Target="http://lis.virginia.gov/cgi-bin/legp604.exe?081+ful+CHAP0474" TargetMode="External"/><Relationship Id="rId54" Type="http://schemas.openxmlformats.org/officeDocument/2006/relationships/hyperlink" Target="http://lis.virginia.gov/cgi-bin/legp604.exe?041+ful+CHAP0939" TargetMode="External"/><Relationship Id="rId75" Type="http://schemas.openxmlformats.org/officeDocument/2006/relationships/hyperlink" Target="http://lis.virginia.gov/cgi-bin/legp604.exe?181+ful+CHAP0138" TargetMode="External"/><Relationship Id="rId96" Type="http://schemas.openxmlformats.org/officeDocument/2006/relationships/hyperlink" Target="http://lis.virginia.gov/cgi-bin/legp604.exe?131+ful+CHAP0123" TargetMode="External"/><Relationship Id="rId140" Type="http://schemas.openxmlformats.org/officeDocument/2006/relationships/hyperlink" Target="http://lis.virginia.gov/cgi-bin/legp604.exe?001+ful+CHAP0867" TargetMode="External"/><Relationship Id="rId161" Type="http://schemas.openxmlformats.org/officeDocument/2006/relationships/hyperlink" Target="http://lis.virginia.gov/cgi-bin/legp604.exe?061+ful+CHAP0117" TargetMode="External"/><Relationship Id="rId182" Type="http://schemas.openxmlformats.org/officeDocument/2006/relationships/hyperlink" Target="http://lis.virginia.gov/cgi-bin/legp604.exe?161+ful+CHAP0386" TargetMode="External"/><Relationship Id="rId217" Type="http://schemas.openxmlformats.org/officeDocument/2006/relationships/hyperlink" Target="http://lis.virginia.gov/cgi-bin/legp604.exe?091+ful+CHAP0490" TargetMode="External"/><Relationship Id="rId6" Type="http://schemas.openxmlformats.org/officeDocument/2006/relationships/hyperlink" Target="https://law.lis.virginia.gov/vacodefull/title22.1/chapter13.2/" TargetMode="External"/><Relationship Id="rId238" Type="http://schemas.openxmlformats.org/officeDocument/2006/relationships/hyperlink" Target="http://lis.virginia.gov/cgi-bin/legp604.exe?161+ful+CHAP0750" TargetMode="External"/><Relationship Id="rId259" Type="http://schemas.openxmlformats.org/officeDocument/2006/relationships/hyperlink" Target="http://lis.virginia.gov/cgi-bin/legp604.exe?051+ful+CHAP0331" TargetMode="External"/><Relationship Id="rId23" Type="http://schemas.openxmlformats.org/officeDocument/2006/relationships/hyperlink" Target="http://lis.virginia.gov/cgi-bin/legp604.exe?981+ful+CHAP0602" TargetMode="External"/><Relationship Id="rId119" Type="http://schemas.openxmlformats.org/officeDocument/2006/relationships/hyperlink" Target="https://law.lis.virginia.gov/vacode/22.1-292.1/" TargetMode="External"/><Relationship Id="rId270" Type="http://schemas.openxmlformats.org/officeDocument/2006/relationships/hyperlink" Target="http://lis.virginia.gov/cgi-bin/legp604.exe?041+ful+CHAP0955" TargetMode="External"/><Relationship Id="rId291" Type="http://schemas.openxmlformats.org/officeDocument/2006/relationships/hyperlink" Target="http://lis.virginia.gov/cgi-bin/legp604.exe?101+ful+CHAP0103" TargetMode="External"/><Relationship Id="rId44" Type="http://schemas.openxmlformats.org/officeDocument/2006/relationships/hyperlink" Target="http://lis.virginia.gov/cgi-bin/legp604.exe?001+ful+CHAP0750" TargetMode="External"/><Relationship Id="rId65" Type="http://schemas.openxmlformats.org/officeDocument/2006/relationships/hyperlink" Target="http://lis.virginia.gov/cgi-bin/legp604.exe?131+ful+CHAP0498" TargetMode="External"/><Relationship Id="rId86" Type="http://schemas.openxmlformats.org/officeDocument/2006/relationships/hyperlink" Target="http://lis.virginia.gov/cgi-bin/legp604.exe?041+ful+CHAP0939" TargetMode="External"/><Relationship Id="rId130" Type="http://schemas.openxmlformats.org/officeDocument/2006/relationships/hyperlink" Target="http://lis.virginia.gov/cgi-bin/legp604.exe?981+ful+CHAP0843" TargetMode="External"/><Relationship Id="rId151" Type="http://schemas.openxmlformats.org/officeDocument/2006/relationships/hyperlink" Target="http://lis.virginia.gov/cgi-bin/legp604.exe?041+ful+CHAP0939" TargetMode="External"/><Relationship Id="rId172" Type="http://schemas.openxmlformats.org/officeDocument/2006/relationships/hyperlink" Target="http://lis.virginia.gov/cgi-bin/legp604.exe?131+ful+CHAP0728" TargetMode="External"/><Relationship Id="rId193" Type="http://schemas.openxmlformats.org/officeDocument/2006/relationships/hyperlink" Target="https://law.lis.virginia.gov/vacode/22.1-5/" TargetMode="External"/><Relationship Id="rId207" Type="http://schemas.openxmlformats.org/officeDocument/2006/relationships/hyperlink" Target="http://lis.virginia.gov/cgi-bin/legp604.exe?041+ful+CHAP0955" TargetMode="External"/><Relationship Id="rId228" Type="http://schemas.openxmlformats.org/officeDocument/2006/relationships/hyperlink" Target="http://lis.virginia.gov/cgi-bin/legp604.exe?141+ful+CHAP0084" TargetMode="External"/><Relationship Id="rId249" Type="http://schemas.openxmlformats.org/officeDocument/2006/relationships/hyperlink" Target="http://law.lis.virginia.gov/vacode/22.1-253.13:6/" TargetMode="External"/><Relationship Id="rId13" Type="http://schemas.openxmlformats.org/officeDocument/2006/relationships/hyperlink" Target="https://law.lis.virginia.gov/vacode/23.1-204.1/" TargetMode="External"/><Relationship Id="rId109" Type="http://schemas.openxmlformats.org/officeDocument/2006/relationships/hyperlink" Target="http://lis.virginia.gov/cgi-bin/legp604.exe?201+ful+CHAP0952" TargetMode="External"/><Relationship Id="rId260" Type="http://schemas.openxmlformats.org/officeDocument/2006/relationships/hyperlink" Target="http://lis.virginia.gov/cgi-bin/legp604.exe?051+ful+CHAP0450" TargetMode="External"/><Relationship Id="rId281" Type="http://schemas.openxmlformats.org/officeDocument/2006/relationships/hyperlink" Target="http://lis.virginia.gov/cgi-bin/legp604.exe?081+ful+CHAP0827" TargetMode="External"/><Relationship Id="rId34" Type="http://schemas.openxmlformats.org/officeDocument/2006/relationships/hyperlink" Target="http://lis.virginia.gov/cgi-bin/legp604.exe?991+ful+CHAP0552" TargetMode="External"/><Relationship Id="rId55" Type="http://schemas.openxmlformats.org/officeDocument/2006/relationships/hyperlink" Target="http://lis.virginia.gov/cgi-bin/legp604.exe?041+ful+CHAP0955" TargetMode="External"/><Relationship Id="rId76" Type="http://schemas.openxmlformats.org/officeDocument/2006/relationships/hyperlink" Target="http://lis.virginia.gov/cgi-bin/legp604.exe?181+ful+CHAP0484" TargetMode="External"/><Relationship Id="rId97" Type="http://schemas.openxmlformats.org/officeDocument/2006/relationships/hyperlink" Target="http://lis.virginia.gov/cgi-bin/legp604.exe?131+ful+CHAP0157" TargetMode="External"/><Relationship Id="rId120" Type="http://schemas.openxmlformats.org/officeDocument/2006/relationships/hyperlink" Target="https://law.lis.virginia.gov/vacode/2.2-3705.3/" TargetMode="External"/><Relationship Id="rId141" Type="http://schemas.openxmlformats.org/officeDocument/2006/relationships/hyperlink" Target="http://lis.virginia.gov/cgi-bin/legp604.exe?001+ful+CHAP1061" TargetMode="External"/><Relationship Id="rId7" Type="http://schemas.openxmlformats.org/officeDocument/2006/relationships/hyperlink" Target="https://law.lis.virginia.gov/vacode/2.2-4001/" TargetMode="External"/><Relationship Id="rId162" Type="http://schemas.openxmlformats.org/officeDocument/2006/relationships/hyperlink" Target="http://lis.virginia.gov/cgi-bin/legp604.exe?061+ful+CHAP0131" TargetMode="External"/><Relationship Id="rId183" Type="http://schemas.openxmlformats.org/officeDocument/2006/relationships/hyperlink" Target="http://lis.virginia.gov/cgi-bin/legp604.exe?161+ful+CHAP0387" TargetMode="External"/><Relationship Id="rId218" Type="http://schemas.openxmlformats.org/officeDocument/2006/relationships/hyperlink" Target="http://lis.virginia.gov/cgi-bin/legp604.exe?101+ful+CHAP0080" TargetMode="External"/><Relationship Id="rId239" Type="http://schemas.openxmlformats.org/officeDocument/2006/relationships/hyperlink" Target="http://lis.virginia.gov/cgi-bin/legp604.exe?171+ful+CHAP0330" TargetMode="External"/><Relationship Id="rId2" Type="http://schemas.openxmlformats.org/officeDocument/2006/relationships/settings" Target="settings.xml"/><Relationship Id="rId29" Type="http://schemas.openxmlformats.org/officeDocument/2006/relationships/hyperlink" Target="http://lis.virginia.gov/cgi-bin/legp604.exe?991+ful+CHAP0444" TargetMode="External"/><Relationship Id="rId250" Type="http://schemas.openxmlformats.org/officeDocument/2006/relationships/hyperlink" Target="http://lis.virginia.gov/cgi-bin/legp604.exe?971+ful+CHAP0827" TargetMode="External"/><Relationship Id="rId255" Type="http://schemas.openxmlformats.org/officeDocument/2006/relationships/hyperlink" Target="http://lis.virginia.gov/cgi-bin/legp604.exe?991+ful+CHAP1037" TargetMode="External"/><Relationship Id="rId271" Type="http://schemas.openxmlformats.org/officeDocument/2006/relationships/hyperlink" Target="http://lis.virginia.gov/cgi-bin/legp604.exe?041+ful+CHAP0965" TargetMode="External"/><Relationship Id="rId276" Type="http://schemas.openxmlformats.org/officeDocument/2006/relationships/hyperlink" Target="http://law.lis.virginia.gov/vacode/22.1-306/" TargetMode="External"/><Relationship Id="rId292" Type="http://schemas.openxmlformats.org/officeDocument/2006/relationships/hyperlink" Target="http://lis.virginia.gov/cgi-bin/legp604.exe?111+ful+CHAP0119" TargetMode="External"/><Relationship Id="rId297" Type="http://schemas.openxmlformats.org/officeDocument/2006/relationships/hyperlink" Target="http://lis.virginia.gov/cgi-bin/legp604.exe?201+ful+CHAP0688" TargetMode="External"/><Relationship Id="rId24" Type="http://schemas.openxmlformats.org/officeDocument/2006/relationships/hyperlink" Target="http://lis.virginia.gov/cgi-bin/legp604.exe?981+ful+CHAP0627" TargetMode="External"/><Relationship Id="rId40" Type="http://schemas.openxmlformats.org/officeDocument/2006/relationships/hyperlink" Target="http://lis.virginia.gov/cgi-bin/legp604.exe?001+ful+CHAP0662" TargetMode="External"/><Relationship Id="rId45" Type="http://schemas.openxmlformats.org/officeDocument/2006/relationships/hyperlink" Target="http://lis.virginia.gov/cgi-bin/legp604.exe?001+ful+CHAP0867" TargetMode="External"/><Relationship Id="rId66" Type="http://schemas.openxmlformats.org/officeDocument/2006/relationships/hyperlink" Target="http://lis.virginia.gov/cgi-bin/legp604.exe?131+ful+CHAP0530" TargetMode="External"/><Relationship Id="rId87" Type="http://schemas.openxmlformats.org/officeDocument/2006/relationships/hyperlink" Target="http://lis.virginia.gov/cgi-bin/legp604.exe?041+ful+CHAP0955" TargetMode="External"/><Relationship Id="rId110" Type="http://schemas.openxmlformats.org/officeDocument/2006/relationships/hyperlink" Target="http://lis.virginia.gov/cgi-bin/legp604.exe?201+ful+CHAP0953" TargetMode="External"/><Relationship Id="rId115" Type="http://schemas.openxmlformats.org/officeDocument/2006/relationships/hyperlink" Target="https://law.lis.virginia.gov/vacode/22.1-213/" TargetMode="External"/><Relationship Id="rId131" Type="http://schemas.openxmlformats.org/officeDocument/2006/relationships/hyperlink" Target="http://lis.virginia.gov/cgi-bin/legp604.exe?981+ful+CHAP0902" TargetMode="External"/><Relationship Id="rId136" Type="http://schemas.openxmlformats.org/officeDocument/2006/relationships/hyperlink" Target="http://lis.virginia.gov/cgi-bin/legp604.exe?001+ful+CHAP0735" TargetMode="External"/><Relationship Id="rId157" Type="http://schemas.openxmlformats.org/officeDocument/2006/relationships/hyperlink" Target="http://lis.virginia.gov/cgi-bin/legp604.exe?051+ful+CHAP0834" TargetMode="External"/><Relationship Id="rId178" Type="http://schemas.openxmlformats.org/officeDocument/2006/relationships/hyperlink" Target="http://lis.virginia.gov/cgi-bin/legp604.exe?151+ful+CHAP0322" TargetMode="External"/><Relationship Id="rId301" Type="http://schemas.openxmlformats.org/officeDocument/2006/relationships/theme" Target="theme/theme1.xml"/><Relationship Id="rId61" Type="http://schemas.openxmlformats.org/officeDocument/2006/relationships/hyperlink" Target="http://lis.virginia.gov/cgi-bin/legp604.exe?121+ful+CHAP0794" TargetMode="External"/><Relationship Id="rId82" Type="http://schemas.openxmlformats.org/officeDocument/2006/relationships/hyperlink" Target="https://law.lis.virginia.gov/vacode/22.1-253.13:1/" TargetMode="External"/><Relationship Id="rId152" Type="http://schemas.openxmlformats.org/officeDocument/2006/relationships/hyperlink" Target="http://lis.virginia.gov/cgi-bin/legp604.exe?041+ful+CHAP0955" TargetMode="External"/><Relationship Id="rId173" Type="http://schemas.openxmlformats.org/officeDocument/2006/relationships/hyperlink" Target="http://lis.virginia.gov/cgi-bin/legp604.exe?141+ful+CHAP0084" TargetMode="External"/><Relationship Id="rId194" Type="http://schemas.openxmlformats.org/officeDocument/2006/relationships/hyperlink" Target="https://law.lis.virginia.gov/vacode/22.1-254/" TargetMode="External"/><Relationship Id="rId199" Type="http://schemas.openxmlformats.org/officeDocument/2006/relationships/hyperlink" Target="http://lis.virginia.gov/cgi-bin/legp604.exe?981+ful+CHAP0072" TargetMode="External"/><Relationship Id="rId203" Type="http://schemas.openxmlformats.org/officeDocument/2006/relationships/hyperlink" Target="http://lis.virginia.gov/cgi-bin/legp604.exe?011+ful+CHAP0500" TargetMode="External"/><Relationship Id="rId208" Type="http://schemas.openxmlformats.org/officeDocument/2006/relationships/hyperlink" Target="http://lis.virginia.gov/cgi-bin/legp604.exe?051+ful+CHAP0345" TargetMode="External"/><Relationship Id="rId229" Type="http://schemas.openxmlformats.org/officeDocument/2006/relationships/hyperlink" Target="http://lis.virginia.gov/cgi-bin/legp604.exe?141+ful+CHAP0590" TargetMode="External"/><Relationship Id="rId19" Type="http://schemas.openxmlformats.org/officeDocument/2006/relationships/hyperlink" Target="http://lis.virginia.gov/cgi-bin/legp604.exe?971+ful+CHAP0466" TargetMode="External"/><Relationship Id="rId224" Type="http://schemas.openxmlformats.org/officeDocument/2006/relationships/hyperlink" Target="http://lis.virginia.gov/cgi-bin/legp604.exe?121+ful+CHAP0454" TargetMode="External"/><Relationship Id="rId240" Type="http://schemas.openxmlformats.org/officeDocument/2006/relationships/hyperlink" Target="http://lis.virginia.gov/cgi-bin/legp604.exe?171+ful+CHAP0685" TargetMode="External"/><Relationship Id="rId245" Type="http://schemas.openxmlformats.org/officeDocument/2006/relationships/hyperlink" Target="http://lis.virginia.gov/cgi-bin/legp604.exe?181+ful+CHAP0716" TargetMode="External"/><Relationship Id="rId261" Type="http://schemas.openxmlformats.org/officeDocument/2006/relationships/hyperlink" Target="http://lis.virginia.gov/cgi-bin/legp604.exe?071+ful+CHAP0234" TargetMode="External"/><Relationship Id="rId266" Type="http://schemas.openxmlformats.org/officeDocument/2006/relationships/hyperlink" Target="http://lis.virginia.gov/cgi-bin/legp604.exe?981+ful+CHAP0106" TargetMode="External"/><Relationship Id="rId287" Type="http://schemas.openxmlformats.org/officeDocument/2006/relationships/hyperlink" Target="http://lis.virginia.gov/cgi-bin/legp604.exe?041+ful+CHAP0965" TargetMode="External"/><Relationship Id="rId14" Type="http://schemas.openxmlformats.org/officeDocument/2006/relationships/hyperlink" Target="https://law.lis.virginia.gov/vacode/22.1-200.03/" TargetMode="External"/><Relationship Id="rId30" Type="http://schemas.openxmlformats.org/officeDocument/2006/relationships/hyperlink" Target="http://lis.virginia.gov/cgi-bin/legp604.exe?991+ful+CHAP0445" TargetMode="External"/><Relationship Id="rId35" Type="http://schemas.openxmlformats.org/officeDocument/2006/relationships/hyperlink" Target="http://lis.virginia.gov/cgi-bin/legp604.exe?991+ful+CHAP0595" TargetMode="External"/><Relationship Id="rId56" Type="http://schemas.openxmlformats.org/officeDocument/2006/relationships/hyperlink" Target="http://lis.virginia.gov/cgi-bin/legp604.exe?051+ful+CHAP0331" TargetMode="External"/><Relationship Id="rId77" Type="http://schemas.openxmlformats.org/officeDocument/2006/relationships/hyperlink" Target="http://lis.virginia.gov/cgi-bin/legp604.exe?181+ful+CHAP0485" TargetMode="External"/><Relationship Id="rId100" Type="http://schemas.openxmlformats.org/officeDocument/2006/relationships/hyperlink" Target="http://lis.virginia.gov/cgi-bin/legp604.exe?161+ful+CHAP0646" TargetMode="External"/><Relationship Id="rId105" Type="http://schemas.openxmlformats.org/officeDocument/2006/relationships/hyperlink" Target="http://lis.virginia.gov/cgi-bin/legp604.exe?191+ful+CHAP0139" TargetMode="External"/><Relationship Id="rId126" Type="http://schemas.openxmlformats.org/officeDocument/2006/relationships/hyperlink" Target="http://lis.virginia.gov/cgi-bin/legp604.exe?981+ful+CHAP0456" TargetMode="External"/><Relationship Id="rId147" Type="http://schemas.openxmlformats.org/officeDocument/2006/relationships/hyperlink" Target="http://lis.virginia.gov/cgi-bin/legp604.exe?021+ful+CHAP0732" TargetMode="External"/><Relationship Id="rId168" Type="http://schemas.openxmlformats.org/officeDocument/2006/relationships/hyperlink" Target="http://lis.virginia.gov/cgi-bin/legp604.exe?121+ful+CHAP0183" TargetMode="External"/><Relationship Id="rId282" Type="http://schemas.openxmlformats.org/officeDocument/2006/relationships/hyperlink" Target="http://lis.virginia.gov/cgi-bin/legp604.exe?131+ful+CHAP0301" TargetMode="External"/><Relationship Id="rId8" Type="http://schemas.openxmlformats.org/officeDocument/2006/relationships/hyperlink" Target="https://law.lis.virginia.gov/vacode/22.1-298.1/" TargetMode="External"/><Relationship Id="rId51" Type="http://schemas.openxmlformats.org/officeDocument/2006/relationships/hyperlink" Target="http://lis.virginia.gov/cgi-bin/legp604.exe?031+ful+CHAP0861" TargetMode="External"/><Relationship Id="rId72" Type="http://schemas.openxmlformats.org/officeDocument/2006/relationships/hyperlink" Target="http://lis.virginia.gov/cgi-bin/legp604.exe?161+ful+CHAP0472" TargetMode="External"/><Relationship Id="rId93" Type="http://schemas.openxmlformats.org/officeDocument/2006/relationships/hyperlink" Target="http://lis.virginia.gov/cgi-bin/legp604.exe?111+ful+CHAP0074" TargetMode="External"/><Relationship Id="rId98" Type="http://schemas.openxmlformats.org/officeDocument/2006/relationships/hyperlink" Target="http://lis.virginia.gov/cgi-bin/legp604.exe?131+ful+CHAP0158" TargetMode="External"/><Relationship Id="rId121" Type="http://schemas.openxmlformats.org/officeDocument/2006/relationships/hyperlink" Target="https://law.lis.virginia.gov/vacode/22.1-254.1/" TargetMode="External"/><Relationship Id="rId142" Type="http://schemas.openxmlformats.org/officeDocument/2006/relationships/hyperlink" Target="http://lis.virginia.gov/cgi-bin/legp604.exe?011+ful+CHAP0651" TargetMode="External"/><Relationship Id="rId163" Type="http://schemas.openxmlformats.org/officeDocument/2006/relationships/hyperlink" Target="http://lis.virginia.gov/cgi-bin/legp604.exe?071+ful+CHAP0234" TargetMode="External"/><Relationship Id="rId184" Type="http://schemas.openxmlformats.org/officeDocument/2006/relationships/hyperlink" Target="http://lis.virginia.gov/cgi-bin/legp604.exe?161+ful+CHAP0502" TargetMode="External"/><Relationship Id="rId189" Type="http://schemas.openxmlformats.org/officeDocument/2006/relationships/hyperlink" Target="http://lis.virginia.gov/cgi-bin/legp604.exe?171+ful+CHAP0778" TargetMode="External"/><Relationship Id="rId219" Type="http://schemas.openxmlformats.org/officeDocument/2006/relationships/hyperlink" Target="http://lis.virginia.gov/cgi-bin/legp604.exe?101+ful+CHAP0089" TargetMode="External"/><Relationship Id="rId3" Type="http://schemas.openxmlformats.org/officeDocument/2006/relationships/webSettings" Target="webSettings.xml"/><Relationship Id="rId214" Type="http://schemas.openxmlformats.org/officeDocument/2006/relationships/hyperlink" Target="http://lis.virginia.gov/cgi-bin/legp604.exe?071+ful+CHAP0859" TargetMode="External"/><Relationship Id="rId230" Type="http://schemas.openxmlformats.org/officeDocument/2006/relationships/hyperlink" Target="http://lis.virginia.gov/cgi-bin/legp604.exe?151+ful+CHAP0329" TargetMode="External"/><Relationship Id="rId235" Type="http://schemas.openxmlformats.org/officeDocument/2006/relationships/hyperlink" Target="http://lis.virginia.gov/cgi-bin/legp604.exe?151+ful+CHAP0702" TargetMode="External"/><Relationship Id="rId251" Type="http://schemas.openxmlformats.org/officeDocument/2006/relationships/hyperlink" Target="http://lis.virginia.gov/cgi-bin/legp604.exe?981+ful+CHAP0826" TargetMode="External"/><Relationship Id="rId256" Type="http://schemas.openxmlformats.org/officeDocument/2006/relationships/hyperlink" Target="http://lis.virginia.gov/cgi-bin/legp604.exe?001+ful+CHAP0867" TargetMode="External"/><Relationship Id="rId277" Type="http://schemas.openxmlformats.org/officeDocument/2006/relationships/hyperlink" Target="http://lis.virginia.gov/cgi-bin/legp604.exe?041+ful+CHAP0939" TargetMode="External"/><Relationship Id="rId298" Type="http://schemas.openxmlformats.org/officeDocument/2006/relationships/hyperlink" Target="http://lis.virginia.gov/cgi-bin/legp604.exe?191+ful+CHAP0771" TargetMode="External"/><Relationship Id="rId25" Type="http://schemas.openxmlformats.org/officeDocument/2006/relationships/hyperlink" Target="http://lis.virginia.gov/cgi-bin/legp604.exe?981+ful+CHAP0800" TargetMode="External"/><Relationship Id="rId46" Type="http://schemas.openxmlformats.org/officeDocument/2006/relationships/hyperlink" Target="http://lis.virginia.gov/cgi-bin/legp604.exe?011+ful+CHAP0483" TargetMode="External"/><Relationship Id="rId67" Type="http://schemas.openxmlformats.org/officeDocument/2006/relationships/hyperlink" Target="http://lis.virginia.gov/cgi-bin/legp604.exe?141+ful+CHAP0472" TargetMode="External"/><Relationship Id="rId116" Type="http://schemas.openxmlformats.org/officeDocument/2006/relationships/hyperlink" Target="https://law.lis.virginia.gov/vacode/22.1-18/" TargetMode="External"/><Relationship Id="rId137" Type="http://schemas.openxmlformats.org/officeDocument/2006/relationships/hyperlink" Target="http://lis.virginia.gov/cgi-bin/legp604.exe?001+ful+CHAP0742" TargetMode="External"/><Relationship Id="rId158" Type="http://schemas.openxmlformats.org/officeDocument/2006/relationships/hyperlink" Target="http://lis.virginia.gov/cgi-bin/legp604.exe?061+ful+CHAP0025" TargetMode="External"/><Relationship Id="rId272" Type="http://schemas.openxmlformats.org/officeDocument/2006/relationships/hyperlink" Target="http://lis.virginia.gov/cgi-bin/legp604.exe?051+ful+CHAP0331" TargetMode="External"/><Relationship Id="rId293" Type="http://schemas.openxmlformats.org/officeDocument/2006/relationships/hyperlink" Target="http://lis.virginia.gov/cgi-bin/legp604.exe?111+ful+CHAP0145" TargetMode="External"/><Relationship Id="rId20" Type="http://schemas.openxmlformats.org/officeDocument/2006/relationships/hyperlink" Target="http://lis.virginia.gov/cgi-bin/legp604.exe?971+ful+CHAP0828" TargetMode="External"/><Relationship Id="rId41" Type="http://schemas.openxmlformats.org/officeDocument/2006/relationships/hyperlink" Target="http://lis.virginia.gov/cgi-bin/legp604.exe?001+ful+CHAP0677" TargetMode="External"/><Relationship Id="rId62" Type="http://schemas.openxmlformats.org/officeDocument/2006/relationships/hyperlink" Target="http://lis.virginia.gov/cgi-bin/legp604.exe?121+ful+CHAP0845" TargetMode="External"/><Relationship Id="rId83" Type="http://schemas.openxmlformats.org/officeDocument/2006/relationships/hyperlink" Target="https://law.lis.virginia.gov/vacode/22.1-253.13:1/" TargetMode="External"/><Relationship Id="rId88" Type="http://schemas.openxmlformats.org/officeDocument/2006/relationships/hyperlink" Target="http://lis.virginia.gov/cgi-bin/legp604.exe?051+ful+CHAP0331" TargetMode="External"/><Relationship Id="rId111" Type="http://schemas.openxmlformats.org/officeDocument/2006/relationships/hyperlink" Target="http://lis.virginia.gov/cgi-bin/legp604.exe?201+ful+CHAP1034" TargetMode="External"/><Relationship Id="rId132" Type="http://schemas.openxmlformats.org/officeDocument/2006/relationships/hyperlink" Target="http://lis.virginia.gov/cgi-bin/legp604.exe?991+ful+CHAP0670" TargetMode="External"/><Relationship Id="rId153" Type="http://schemas.openxmlformats.org/officeDocument/2006/relationships/hyperlink" Target="http://lis.virginia.gov/cgi-bin/legp604.exe?041+ful+CHAP0965" TargetMode="External"/><Relationship Id="rId174" Type="http://schemas.openxmlformats.org/officeDocument/2006/relationships/hyperlink" Target="http://lis.virginia.gov/cgi-bin/legp604.exe?141+ful+CHAP0585" TargetMode="External"/><Relationship Id="rId179" Type="http://schemas.openxmlformats.org/officeDocument/2006/relationships/hyperlink" Target="http://lis.virginia.gov/cgi-bin/legp604.exe?151+ful+CHAP0323" TargetMode="External"/><Relationship Id="rId195" Type="http://schemas.openxmlformats.org/officeDocument/2006/relationships/hyperlink" Target="http://lis.virginia.gov/cgi-bin/legp604.exe?941+ful+CHAP0618" TargetMode="External"/><Relationship Id="rId209" Type="http://schemas.openxmlformats.org/officeDocument/2006/relationships/hyperlink" Target="http://lis.virginia.gov/cgi-bin/legp604.exe?061+ful+CHAP0584" TargetMode="External"/><Relationship Id="rId190" Type="http://schemas.openxmlformats.org/officeDocument/2006/relationships/hyperlink" Target="http://lis.virginia.gov/cgi-bin/legp604.exe?191+ful+CHAP0585" TargetMode="External"/><Relationship Id="rId204" Type="http://schemas.openxmlformats.org/officeDocument/2006/relationships/hyperlink" Target="http://lis.virginia.gov/cgi-bin/legp604.exe?031+ful+CHAP0688" TargetMode="External"/><Relationship Id="rId220" Type="http://schemas.openxmlformats.org/officeDocument/2006/relationships/hyperlink" Target="http://lis.virginia.gov/cgi-bin/legp604.exe?101+ful+CHAP0162" TargetMode="External"/><Relationship Id="rId225" Type="http://schemas.openxmlformats.org/officeDocument/2006/relationships/hyperlink" Target="http://lis.virginia.gov/cgi-bin/legp604.exe?121+ful+CHAP0642" TargetMode="External"/><Relationship Id="rId241" Type="http://schemas.openxmlformats.org/officeDocument/2006/relationships/hyperlink" Target="http://lis.virginia.gov/cgi-bin/legp604.exe?181+ful+CHAP0139" TargetMode="External"/><Relationship Id="rId246" Type="http://schemas.openxmlformats.org/officeDocument/2006/relationships/hyperlink" Target="http://lis.virginia.gov/cgi-bin/legp604.exe?201+ful+CHAP0055" TargetMode="External"/><Relationship Id="rId267" Type="http://schemas.openxmlformats.org/officeDocument/2006/relationships/hyperlink" Target="http://lis.virginia.gov/cgi-bin/legp604.exe?001+ful+CHAP0867" TargetMode="External"/><Relationship Id="rId288" Type="http://schemas.openxmlformats.org/officeDocument/2006/relationships/hyperlink" Target="http://lis.virginia.gov/cgi-bin/legp604.exe?051+ful+CHAP0331" TargetMode="External"/><Relationship Id="rId15" Type="http://schemas.openxmlformats.org/officeDocument/2006/relationships/hyperlink" Target="http://lis.virginia.gov/cgi-bin/legp604.exe?941+ful+CHAP0618" TargetMode="External"/><Relationship Id="rId36" Type="http://schemas.openxmlformats.org/officeDocument/2006/relationships/hyperlink" Target="http://lis.virginia.gov/cgi-bin/legp604.exe?991+ful+CHAP0994" TargetMode="External"/><Relationship Id="rId57" Type="http://schemas.openxmlformats.org/officeDocument/2006/relationships/hyperlink" Target="http://lis.virginia.gov/cgi-bin/legp604.exe?051+ful+CHAP0450" TargetMode="External"/><Relationship Id="rId106" Type="http://schemas.openxmlformats.org/officeDocument/2006/relationships/hyperlink" Target="http://lis.virginia.gov/cgi-bin/legp604.exe?191+ful+CHAP0796" TargetMode="External"/><Relationship Id="rId127" Type="http://schemas.openxmlformats.org/officeDocument/2006/relationships/hyperlink" Target="http://lis.virginia.gov/cgi-bin/legp604.exe?981+ful+CHAP0567" TargetMode="External"/><Relationship Id="rId262" Type="http://schemas.openxmlformats.org/officeDocument/2006/relationships/hyperlink" Target="http://lis.virginia.gov/cgi-bin/legp604.exe?131+ful+CHAP0588" TargetMode="External"/><Relationship Id="rId283" Type="http://schemas.openxmlformats.org/officeDocument/2006/relationships/hyperlink" Target="http://law.lis.virginia.gov/vacode/22.1-18/" TargetMode="External"/><Relationship Id="rId10" Type="http://schemas.openxmlformats.org/officeDocument/2006/relationships/hyperlink" Target="https://law.lis.virginia.gov/vacode/22.1-254/" TargetMode="External"/><Relationship Id="rId31" Type="http://schemas.openxmlformats.org/officeDocument/2006/relationships/hyperlink" Target="http://lis.virginia.gov/cgi-bin/legp604.exe?991+ful+CHAP0452" TargetMode="External"/><Relationship Id="rId52" Type="http://schemas.openxmlformats.org/officeDocument/2006/relationships/hyperlink" Target="http://lis.virginia.gov/cgi-bin/legp604.exe?041+ful+CHAP0404" TargetMode="External"/><Relationship Id="rId73" Type="http://schemas.openxmlformats.org/officeDocument/2006/relationships/hyperlink" Target="http://lis.virginia.gov/cgi-bin/legp604.exe?161+ful+CHAP0737" TargetMode="External"/><Relationship Id="rId78" Type="http://schemas.openxmlformats.org/officeDocument/2006/relationships/hyperlink" Target="http://lis.virginia.gov/cgi-bin/legp604.exe?181+ful+CHAP0748" TargetMode="External"/><Relationship Id="rId94" Type="http://schemas.openxmlformats.org/officeDocument/2006/relationships/hyperlink" Target="http://lis.virginia.gov/cgi-bin/legp604.exe?121+ful+CHAP0476" TargetMode="External"/><Relationship Id="rId99" Type="http://schemas.openxmlformats.org/officeDocument/2006/relationships/hyperlink" Target="http://lis.virginia.gov/cgi-bin/legp604.exe?131+ful+CHAP0224" TargetMode="External"/><Relationship Id="rId101" Type="http://schemas.openxmlformats.org/officeDocument/2006/relationships/hyperlink" Target="http://lis.virginia.gov/cgi-bin/legp604.exe?171+ful+CHAP0321" TargetMode="External"/><Relationship Id="rId122" Type="http://schemas.openxmlformats.org/officeDocument/2006/relationships/hyperlink" Target="https://law.lis.virginia.gov/vacode/22.1-18/" TargetMode="External"/><Relationship Id="rId143" Type="http://schemas.openxmlformats.org/officeDocument/2006/relationships/hyperlink" Target="http://lis.virginia.gov/cgi-bin/legp604.exe?011+ful+CHAP0731" TargetMode="External"/><Relationship Id="rId148" Type="http://schemas.openxmlformats.org/officeDocument/2006/relationships/hyperlink" Target="http://lis.virginia.gov/cgi-bin/legp604.exe?031+ful+CHAP0691" TargetMode="External"/><Relationship Id="rId164" Type="http://schemas.openxmlformats.org/officeDocument/2006/relationships/hyperlink" Target="http://lis.virginia.gov/cgi-bin/legp604.exe?091+ful+CHAP0825" TargetMode="External"/><Relationship Id="rId169" Type="http://schemas.openxmlformats.org/officeDocument/2006/relationships/hyperlink" Target="http://lis.virginia.gov/cgi-bin/legp604.exe?131+ful+CHAP0539" TargetMode="External"/><Relationship Id="rId185" Type="http://schemas.openxmlformats.org/officeDocument/2006/relationships/hyperlink" Target="http://lis.virginia.gov/cgi-bin/legp604.exe?161+ful+CHAP0522" TargetMode="External"/><Relationship Id="rId4" Type="http://schemas.openxmlformats.org/officeDocument/2006/relationships/footnotes" Target="footnotes.xml"/><Relationship Id="rId9" Type="http://schemas.openxmlformats.org/officeDocument/2006/relationships/hyperlink" Target="https://law.lis.virginia.gov/vacode/22.1-253.13:4/" TargetMode="External"/><Relationship Id="rId180" Type="http://schemas.openxmlformats.org/officeDocument/2006/relationships/hyperlink" Target="http://lis.virginia.gov/cgi-bin/legp604.exe?151+ful+CHAP0558" TargetMode="External"/><Relationship Id="rId210" Type="http://schemas.openxmlformats.org/officeDocument/2006/relationships/hyperlink" Target="http://lis.virginia.gov/cgi-bin/legp604.exe?071+ful+CHAP0034" TargetMode="External"/><Relationship Id="rId215" Type="http://schemas.openxmlformats.org/officeDocument/2006/relationships/hyperlink" Target="http://lis.virginia.gov/cgi-bin/legp604.exe?071+ful+CHAP0919" TargetMode="External"/><Relationship Id="rId236" Type="http://schemas.openxmlformats.org/officeDocument/2006/relationships/hyperlink" Target="http://lis.virginia.gov/cgi-bin/legp604.exe?151+ful+CHAP0705" TargetMode="External"/><Relationship Id="rId257" Type="http://schemas.openxmlformats.org/officeDocument/2006/relationships/hyperlink" Target="http://lis.virginia.gov/cgi-bin/legp604.exe?041+ful+CHAP0939" TargetMode="External"/><Relationship Id="rId278" Type="http://schemas.openxmlformats.org/officeDocument/2006/relationships/hyperlink" Target="http://lis.virginia.gov/cgi-bin/legp604.exe?041+ful+CHAP0955" TargetMode="External"/><Relationship Id="rId26" Type="http://schemas.openxmlformats.org/officeDocument/2006/relationships/hyperlink" Target="http://lis.virginia.gov/cgi-bin/legp604.exe?981+ful+CHAP0816" TargetMode="External"/><Relationship Id="rId231" Type="http://schemas.openxmlformats.org/officeDocument/2006/relationships/hyperlink" Target="http://lis.virginia.gov/cgi-bin/legp604.exe?151+ful+CHAP0564" TargetMode="External"/><Relationship Id="rId252" Type="http://schemas.openxmlformats.org/officeDocument/2006/relationships/hyperlink" Target="http://lis.virginia.gov/cgi-bin/legp604.exe?981+ful+CHAP0852" TargetMode="External"/><Relationship Id="rId273" Type="http://schemas.openxmlformats.org/officeDocument/2006/relationships/hyperlink" Target="http://lis.virginia.gov/cgi-bin/legp604.exe?051+ful+CHAP0450" TargetMode="External"/><Relationship Id="rId294" Type="http://schemas.openxmlformats.org/officeDocument/2006/relationships/hyperlink" Target="http://lis.virginia.gov/cgi-bin/legp604.exe?121+ful+CHAP0794" TargetMode="External"/><Relationship Id="rId47" Type="http://schemas.openxmlformats.org/officeDocument/2006/relationships/hyperlink" Target="http://lis.virginia.gov/cgi-bin/legp604.exe?021+ful+CHAP0837" TargetMode="External"/><Relationship Id="rId68" Type="http://schemas.openxmlformats.org/officeDocument/2006/relationships/hyperlink" Target="http://lis.virginia.gov/cgi-bin/legp604.exe?151+ful+CHAP0562" TargetMode="External"/><Relationship Id="rId89" Type="http://schemas.openxmlformats.org/officeDocument/2006/relationships/hyperlink" Target="http://lis.virginia.gov/cgi-bin/legp604.exe?051+ful+CHAP0450" TargetMode="External"/><Relationship Id="rId112" Type="http://schemas.openxmlformats.org/officeDocument/2006/relationships/hyperlink" Target="http://lis.virginia.gov/cgi-bin/legp604.exe?201+ful+CHAP1035" TargetMode="External"/><Relationship Id="rId133" Type="http://schemas.openxmlformats.org/officeDocument/2006/relationships/hyperlink" Target="http://lis.virginia.gov/cgi-bin/legp604.exe?991+ful+CHAP0731" TargetMode="External"/><Relationship Id="rId154" Type="http://schemas.openxmlformats.org/officeDocument/2006/relationships/hyperlink" Target="http://lis.virginia.gov/cgi-bin/legp604.exe?051+ful+CHAP0331" TargetMode="External"/><Relationship Id="rId175" Type="http://schemas.openxmlformats.org/officeDocument/2006/relationships/hyperlink" Target="http://lis.virginia.gov/cgi-bin/legp604.exe?141+ful+CHAP0622" TargetMode="External"/><Relationship Id="rId196" Type="http://schemas.openxmlformats.org/officeDocument/2006/relationships/hyperlink" Target="http://lis.virginia.gov/cgi-bin/legp604.exe?941+ful+CHAP0790" TargetMode="External"/><Relationship Id="rId200" Type="http://schemas.openxmlformats.org/officeDocument/2006/relationships/hyperlink" Target="http://lis.virginia.gov/cgi-bin/legp604.exe?981+ful+CHAP0602" TargetMode="External"/><Relationship Id="rId16" Type="http://schemas.openxmlformats.org/officeDocument/2006/relationships/hyperlink" Target="http://lis.virginia.gov/cgi-bin/legp604.exe?941+ful+CHAP0790" TargetMode="External"/><Relationship Id="rId221" Type="http://schemas.openxmlformats.org/officeDocument/2006/relationships/hyperlink" Target="http://lis.virginia.gov/cgi-bin/legp604.exe?101+ful+CHAP0163" TargetMode="External"/><Relationship Id="rId242" Type="http://schemas.openxmlformats.org/officeDocument/2006/relationships/hyperlink" Target="http://lis.virginia.gov/cgi-bin/legp604.exe?181+ful+CHAP0482" TargetMode="External"/><Relationship Id="rId263" Type="http://schemas.openxmlformats.org/officeDocument/2006/relationships/hyperlink" Target="http://lis.virginia.gov/cgi-bin/legp604.exe?131+ful+CHAP0650" TargetMode="External"/><Relationship Id="rId284" Type="http://schemas.openxmlformats.org/officeDocument/2006/relationships/hyperlink" Target="http://law.lis.virginia.gov/vacode/22.1-18/" TargetMode="External"/><Relationship Id="rId37" Type="http://schemas.openxmlformats.org/officeDocument/2006/relationships/hyperlink" Target="http://lis.virginia.gov/cgi-bin/legp604.exe?001+ful+CHAP0504" TargetMode="External"/><Relationship Id="rId58" Type="http://schemas.openxmlformats.org/officeDocument/2006/relationships/hyperlink" Target="http://lis.virginia.gov/cgi-bin/legp604.exe?071+ful+CHAP0234" TargetMode="External"/><Relationship Id="rId79" Type="http://schemas.openxmlformats.org/officeDocument/2006/relationships/hyperlink" Target="http://lis.virginia.gov/cgi-bin/legp604.exe?181+ful+CHAP0749" TargetMode="External"/><Relationship Id="rId102" Type="http://schemas.openxmlformats.org/officeDocument/2006/relationships/hyperlink" Target="http://lis.virginia.gov/cgi-bin/legp604.exe?171+ful+CHAP0626" TargetMode="External"/><Relationship Id="rId123" Type="http://schemas.openxmlformats.org/officeDocument/2006/relationships/hyperlink" Target="https://law.lis.virginia.gov/vacode/22.1-253.13:2/" TargetMode="External"/><Relationship Id="rId144" Type="http://schemas.openxmlformats.org/officeDocument/2006/relationships/hyperlink" Target="http://lis.virginia.gov/cgi-bin/legp604.exe?021+ful+CHAP0101" TargetMode="External"/><Relationship Id="rId90" Type="http://schemas.openxmlformats.org/officeDocument/2006/relationships/hyperlink" Target="http://lis.virginia.gov/cgi-bin/legp604.exe?101+ful+CHAP0537" TargetMode="External"/><Relationship Id="rId165" Type="http://schemas.openxmlformats.org/officeDocument/2006/relationships/hyperlink" Target="http://lis.virginia.gov/cgi-bin/legp604.exe?101+ful+CHAP0076" TargetMode="External"/><Relationship Id="rId186" Type="http://schemas.openxmlformats.org/officeDocument/2006/relationships/hyperlink" Target="http://lis.virginia.gov/cgi-bin/legp604.exe?161+ful+CHAP0720" TargetMode="External"/><Relationship Id="rId211" Type="http://schemas.openxmlformats.org/officeDocument/2006/relationships/hyperlink" Target="http://lis.virginia.gov/cgi-bin/legp604.exe?071+ful+CHAP0056" TargetMode="External"/><Relationship Id="rId232" Type="http://schemas.openxmlformats.org/officeDocument/2006/relationships/hyperlink" Target="http://lis.virginia.gov/cgi-bin/legp604.exe?151+ful+CHAP0565" TargetMode="External"/><Relationship Id="rId253" Type="http://schemas.openxmlformats.org/officeDocument/2006/relationships/hyperlink" Target="http://lis.virginia.gov/cgi-bin/legp604.exe?991+ful+CHAP0830" TargetMode="External"/><Relationship Id="rId274" Type="http://schemas.openxmlformats.org/officeDocument/2006/relationships/hyperlink" Target="http://lis.virginia.gov/cgi-bin/legp604.exe?071+ful+CHAP0234" TargetMode="External"/><Relationship Id="rId295" Type="http://schemas.openxmlformats.org/officeDocument/2006/relationships/hyperlink" Target="http://lis.virginia.gov/cgi-bin/legp604.exe?151+ful+CHAP0566" TargetMode="External"/><Relationship Id="rId27" Type="http://schemas.openxmlformats.org/officeDocument/2006/relationships/hyperlink" Target="http://lis.virginia.gov/cgi-bin/legp604.exe?981+ful+CHAP0902" TargetMode="External"/><Relationship Id="rId48" Type="http://schemas.openxmlformats.org/officeDocument/2006/relationships/hyperlink" Target="http://lis.virginia.gov/cgi-bin/legp604.exe?031+ful+CHAP0690" TargetMode="External"/><Relationship Id="rId69" Type="http://schemas.openxmlformats.org/officeDocument/2006/relationships/hyperlink" Target="http://lis.virginia.gov/cgi-bin/legp604.exe?151+ful+CHAP0589" TargetMode="External"/><Relationship Id="rId113" Type="http://schemas.openxmlformats.org/officeDocument/2006/relationships/hyperlink" Target="https://law.lis.virginia.gov/vacode/2.2-4000/" TargetMode="External"/><Relationship Id="rId134" Type="http://schemas.openxmlformats.org/officeDocument/2006/relationships/hyperlink" Target="http://lis.virginia.gov/cgi-bin/legp604.exe?991+ful+CHAP1015" TargetMode="External"/><Relationship Id="rId80" Type="http://schemas.openxmlformats.org/officeDocument/2006/relationships/hyperlink" Target="http://lis.virginia.gov/cgi-bin/legp604.exe?191+ful+CHAP0582" TargetMode="External"/><Relationship Id="rId155" Type="http://schemas.openxmlformats.org/officeDocument/2006/relationships/hyperlink" Target="http://lis.virginia.gov/cgi-bin/legp604.exe?051+ful+CHAP0450" TargetMode="External"/><Relationship Id="rId176" Type="http://schemas.openxmlformats.org/officeDocument/2006/relationships/hyperlink" Target="http://lis.virginia.gov/cgi-bin/legp604.exe?151+ful+CHAP0145" TargetMode="External"/><Relationship Id="rId197" Type="http://schemas.openxmlformats.org/officeDocument/2006/relationships/hyperlink" Target="http://lis.virginia.gov/cgi-bin/legp604.exe?971+ful+CHAP0828" TargetMode="External"/><Relationship Id="rId201" Type="http://schemas.openxmlformats.org/officeDocument/2006/relationships/hyperlink" Target="http://lis.virginia.gov/cgi-bin/legp604.exe?981+ful+CHAP0627" TargetMode="External"/><Relationship Id="rId222" Type="http://schemas.openxmlformats.org/officeDocument/2006/relationships/hyperlink" Target="http://lis.virginia.gov/cgi-bin/legp604.exe?101+ful+CHAP0313" TargetMode="External"/><Relationship Id="rId243" Type="http://schemas.openxmlformats.org/officeDocument/2006/relationships/hyperlink" Target="http://lis.virginia.gov/cgi-bin/legp604.exe?181+ful+CHAP0512" TargetMode="External"/><Relationship Id="rId264" Type="http://schemas.openxmlformats.org/officeDocument/2006/relationships/hyperlink" Target="http://law.lis.virginia.gov/vacode/22.1-18/" TargetMode="External"/><Relationship Id="rId285" Type="http://schemas.openxmlformats.org/officeDocument/2006/relationships/hyperlink" Target="http://lis.virginia.gov/cgi-bin/legp604.exe?041+ful+CHAP0939" TargetMode="External"/><Relationship Id="rId17" Type="http://schemas.openxmlformats.org/officeDocument/2006/relationships/hyperlink" Target="http://lis.virginia.gov/cgi-bin/legp604.exe?961+ful+CHAP0163" TargetMode="External"/><Relationship Id="rId38" Type="http://schemas.openxmlformats.org/officeDocument/2006/relationships/hyperlink" Target="http://lis.virginia.gov/cgi-bin/legp604.exe?001+ful+CHAP0547" TargetMode="External"/><Relationship Id="rId59" Type="http://schemas.openxmlformats.org/officeDocument/2006/relationships/hyperlink" Target="http://lis.virginia.gov/cgi-bin/legp604.exe?081+ful+CHAP0661" TargetMode="External"/><Relationship Id="rId103" Type="http://schemas.openxmlformats.org/officeDocument/2006/relationships/hyperlink" Target="http://lis.virginia.gov/cgi-bin/legp604.exe?171+ful+CHAP0629" TargetMode="External"/><Relationship Id="rId124" Type="http://schemas.openxmlformats.org/officeDocument/2006/relationships/hyperlink" Target="https://law.lis.virginia.gov/vacode/22.1-253.13:2/" TargetMode="External"/><Relationship Id="rId70" Type="http://schemas.openxmlformats.org/officeDocument/2006/relationships/hyperlink" Target="http://lis.virginia.gov/cgi-bin/legp604.exe?161+ful+CHAP0146" TargetMode="External"/><Relationship Id="rId91" Type="http://schemas.openxmlformats.org/officeDocument/2006/relationships/hyperlink" Target="http://lis.virginia.gov/cgi-bin/legp604.exe?101+ful+CHAP0817" TargetMode="External"/><Relationship Id="rId145" Type="http://schemas.openxmlformats.org/officeDocument/2006/relationships/hyperlink" Target="http://lis.virginia.gov/cgi-bin/legp604.exe?021+ful+CHAP0167" TargetMode="External"/><Relationship Id="rId166" Type="http://schemas.openxmlformats.org/officeDocument/2006/relationships/hyperlink" Target="http://lis.virginia.gov/cgi-bin/legp604.exe?111+ful+CHAP0248" TargetMode="External"/><Relationship Id="rId187" Type="http://schemas.openxmlformats.org/officeDocument/2006/relationships/hyperlink" Target="http://lis.virginia.gov/cgi-bin/legp604.exe?161+ful+CHAP0750" TargetMode="External"/><Relationship Id="rId1" Type="http://schemas.openxmlformats.org/officeDocument/2006/relationships/styles" Target="styles.xml"/><Relationship Id="rId212" Type="http://schemas.openxmlformats.org/officeDocument/2006/relationships/hyperlink" Target="http://lis.virginia.gov/cgi-bin/legp604.exe?071+ful+CHAP0234" TargetMode="External"/><Relationship Id="rId233" Type="http://schemas.openxmlformats.org/officeDocument/2006/relationships/hyperlink" Target="http://lis.virginia.gov/cgi-bin/legp604.exe?151+ful+CHAP0591" TargetMode="External"/><Relationship Id="rId254" Type="http://schemas.openxmlformats.org/officeDocument/2006/relationships/hyperlink" Target="http://lis.virginia.gov/cgi-bin/legp604.exe?991+ful+CHAP1030" TargetMode="External"/><Relationship Id="rId28" Type="http://schemas.openxmlformats.org/officeDocument/2006/relationships/hyperlink" Target="http://lis.virginia.gov/cgi-bin/legp604.exe?991+ful+CHAP0377" TargetMode="External"/><Relationship Id="rId49" Type="http://schemas.openxmlformats.org/officeDocument/2006/relationships/hyperlink" Target="http://lis.virginia.gov/cgi-bin/legp604.exe?031+ful+CHAP0697" TargetMode="External"/><Relationship Id="rId114" Type="http://schemas.openxmlformats.org/officeDocument/2006/relationships/hyperlink" Target="https://law.lis.virginia.gov/vacode/22.1-253.13:6/" TargetMode="External"/><Relationship Id="rId275" Type="http://schemas.openxmlformats.org/officeDocument/2006/relationships/hyperlink" Target="http://law.lis.virginia.gov/vacode/22.1-87/" TargetMode="External"/><Relationship Id="rId296" Type="http://schemas.openxmlformats.org/officeDocument/2006/relationships/hyperlink" Target="http://lis.virginia.gov/cgi-bin/legp604.exe?191+ful+CHAP0576" TargetMode="External"/><Relationship Id="rId300" Type="http://schemas.openxmlformats.org/officeDocument/2006/relationships/fontTable" Target="fontTable.xml"/><Relationship Id="rId60" Type="http://schemas.openxmlformats.org/officeDocument/2006/relationships/hyperlink" Target="http://lis.virginia.gov/cgi-bin/legp604.exe?091+ful+CHAP0802" TargetMode="External"/><Relationship Id="rId81" Type="http://schemas.openxmlformats.org/officeDocument/2006/relationships/hyperlink" Target="http://lis.virginia.gov/cgi-bin/legp604.exe?201+ful+CHAP0637" TargetMode="External"/><Relationship Id="rId135" Type="http://schemas.openxmlformats.org/officeDocument/2006/relationships/hyperlink" Target="http://lis.virginia.gov/cgi-bin/legp604.exe?001+ful+CHAP0504" TargetMode="External"/><Relationship Id="rId156" Type="http://schemas.openxmlformats.org/officeDocument/2006/relationships/hyperlink" Target="http://lis.virginia.gov/cgi-bin/legp604.exe?051+ful+CHAP0753" TargetMode="External"/><Relationship Id="rId177" Type="http://schemas.openxmlformats.org/officeDocument/2006/relationships/hyperlink" Target="http://lis.virginia.gov/cgi-bin/legp604.exe?151+ful+CHAP0149" TargetMode="External"/><Relationship Id="rId198" Type="http://schemas.openxmlformats.org/officeDocument/2006/relationships/hyperlink" Target="http://lis.virginia.gov/cgi-bin/legp604.exe?971+ful+CHAP0835" TargetMode="External"/><Relationship Id="rId202" Type="http://schemas.openxmlformats.org/officeDocument/2006/relationships/hyperlink" Target="http://lis.virginia.gov/cgi-bin/legp604.exe?011+ful+CHAP0483" TargetMode="External"/><Relationship Id="rId223" Type="http://schemas.openxmlformats.org/officeDocument/2006/relationships/hyperlink" Target="http://lis.virginia.gov/cgi-bin/legp604.exe?111+ful+CHAP0209" TargetMode="External"/><Relationship Id="rId244" Type="http://schemas.openxmlformats.org/officeDocument/2006/relationships/hyperlink" Target="http://lis.virginia.gov/cgi-bin/legp604.exe?181+ful+CHAP0592" TargetMode="External"/><Relationship Id="rId18" Type="http://schemas.openxmlformats.org/officeDocument/2006/relationships/hyperlink" Target="http://lis.virginia.gov/cgi-bin/legp604.exe?961+ful+CHAP0522" TargetMode="External"/><Relationship Id="rId39" Type="http://schemas.openxmlformats.org/officeDocument/2006/relationships/hyperlink" Target="http://lis.virginia.gov/cgi-bin/legp604.exe?001+ful+CHAP0653" TargetMode="External"/><Relationship Id="rId265" Type="http://schemas.openxmlformats.org/officeDocument/2006/relationships/hyperlink" Target="http://law.lis.virginia.gov/vacode/22.1-253.13:3/" TargetMode="External"/><Relationship Id="rId286" Type="http://schemas.openxmlformats.org/officeDocument/2006/relationships/hyperlink" Target="http://lis.virginia.gov/cgi-bin/legp604.exe?041+ful+CHAP0955" TargetMode="External"/><Relationship Id="rId50" Type="http://schemas.openxmlformats.org/officeDocument/2006/relationships/hyperlink" Target="http://lis.virginia.gov/cgi-bin/legp604.exe?031+ful+CHAP0714" TargetMode="External"/><Relationship Id="rId104" Type="http://schemas.openxmlformats.org/officeDocument/2006/relationships/hyperlink" Target="http://lis.virginia.gov/cgi-bin/legp604.exe?181+ful+CHAP0484" TargetMode="External"/><Relationship Id="rId125" Type="http://schemas.openxmlformats.org/officeDocument/2006/relationships/hyperlink" Target="https://law.lis.virginia.gov/vacode/22.1-253.13:2/" TargetMode="External"/><Relationship Id="rId146" Type="http://schemas.openxmlformats.org/officeDocument/2006/relationships/hyperlink" Target="http://lis.virginia.gov/cgi-bin/legp604.exe?021+ful+CHAP0656" TargetMode="External"/><Relationship Id="rId167" Type="http://schemas.openxmlformats.org/officeDocument/2006/relationships/hyperlink" Target="http://lis.virginia.gov/cgi-bin/legp604.exe?111+ful+CHAP0666" TargetMode="External"/><Relationship Id="rId188" Type="http://schemas.openxmlformats.org/officeDocument/2006/relationships/hyperlink" Target="http://lis.virginia.gov/cgi-bin/legp604.exe?171+ful+CHAP0328" TargetMode="External"/><Relationship Id="rId71" Type="http://schemas.openxmlformats.org/officeDocument/2006/relationships/hyperlink" Target="http://lis.virginia.gov/cgi-bin/legp604.exe?161+ful+CHAP0155" TargetMode="External"/><Relationship Id="rId92" Type="http://schemas.openxmlformats.org/officeDocument/2006/relationships/hyperlink" Target="http://lis.virginia.gov/cgi-bin/legp604.exe?111+ful+CHAP0055" TargetMode="External"/><Relationship Id="rId213" Type="http://schemas.openxmlformats.org/officeDocument/2006/relationships/hyperlink" Target="http://lis.virginia.gov/cgi-bin/legp604.exe?071+ful+CHAP0351" TargetMode="External"/><Relationship Id="rId234" Type="http://schemas.openxmlformats.org/officeDocument/2006/relationships/hyperlink" Target="http://lis.virginia.gov/cgi-bin/legp604.exe?151+ful+CHAP0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17750</Words>
  <Characters>101175</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118688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Morris</dc:creator>
  <cp:keywords/>
  <dc:description/>
  <cp:lastModifiedBy>Jennings, Laura (DOE)</cp:lastModifiedBy>
  <cp:revision>2</cp:revision>
  <dcterms:created xsi:type="dcterms:W3CDTF">2020-09-30T12:20:00Z</dcterms:created>
  <dcterms:modified xsi:type="dcterms:W3CDTF">2020-09-30T12:20:00Z</dcterms:modified>
</cp:coreProperties>
</file>