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830" w:rsidRDefault="008328D3" w:rsidP="004B1766">
      <w:pPr>
        <w:pStyle w:val="Heading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4B1766">
        <w:rPr>
          <w:rFonts w:ascii="Times New Roman" w:hAnsi="Times New Roman" w:cs="Times New Roman"/>
          <w:color w:val="auto"/>
          <w:sz w:val="24"/>
          <w:szCs w:val="24"/>
        </w:rPr>
        <w:t>Examples of Planned and Unplanned Unaccompanied Youth Scenarios</w:t>
      </w:r>
    </w:p>
    <w:p w:rsidR="004B1766" w:rsidRDefault="004B1766" w:rsidP="004B1766">
      <w:pPr>
        <w:pStyle w:val="NoSpacing"/>
      </w:pPr>
    </w:p>
    <w:p w:rsidR="004B1766" w:rsidRPr="004B1766" w:rsidRDefault="004B1766" w:rsidP="004B1766">
      <w:pPr>
        <w:pStyle w:val="NoSpacing"/>
        <w:sectPr w:rsidR="004B1766" w:rsidRPr="004B1766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F3830" w:rsidRDefault="009F3830" w:rsidP="009F3830">
      <w:r>
        <w:t>Main Situation</w:t>
      </w:r>
    </w:p>
    <w:p w:rsidR="009F3830" w:rsidRDefault="009F3830" w:rsidP="004B1766">
      <w:pPr>
        <w:pStyle w:val="NoSpacing"/>
      </w:pPr>
      <w:r>
        <w:t>Medical (including substance abuse treatment and mental health)</w:t>
      </w:r>
    </w:p>
    <w:p w:rsidR="004B1766" w:rsidRDefault="004B1766" w:rsidP="004B1766">
      <w:pPr>
        <w:pStyle w:val="NoSpacing"/>
      </w:pPr>
    </w:p>
    <w:p w:rsidR="009F3830" w:rsidRDefault="009F3830" w:rsidP="004B1766">
      <w:pPr>
        <w:pStyle w:val="NoSpacing"/>
      </w:pPr>
      <w:r>
        <w:t>Incarceration</w:t>
      </w:r>
    </w:p>
    <w:p w:rsidR="004B1766" w:rsidRDefault="004B1766" w:rsidP="004B1766">
      <w:pPr>
        <w:pStyle w:val="NoSpacing"/>
      </w:pPr>
    </w:p>
    <w:p w:rsidR="009F3830" w:rsidRDefault="009F3830" w:rsidP="004B1766">
      <w:pPr>
        <w:pStyle w:val="NoSpacing"/>
      </w:pPr>
      <w:r>
        <w:t>Immigration</w:t>
      </w:r>
    </w:p>
    <w:p w:rsidR="004B1766" w:rsidRDefault="004B1766" w:rsidP="004B1766">
      <w:pPr>
        <w:pStyle w:val="NoSpacing"/>
      </w:pPr>
    </w:p>
    <w:p w:rsidR="00EC617A" w:rsidRPr="00880A16" w:rsidRDefault="009F3830" w:rsidP="004B1766">
      <w:pPr>
        <w:pStyle w:val="NoSpacing"/>
      </w:pPr>
      <w:r>
        <w:t>An agency is involved in the placement of the child</w:t>
      </w:r>
    </w:p>
    <w:p w:rsidR="009F3830" w:rsidRDefault="009F3830" w:rsidP="00EC617A"/>
    <w:p w:rsidR="009F3830" w:rsidRDefault="009F3830" w:rsidP="00EC617A"/>
    <w:p w:rsidR="009F3830" w:rsidRDefault="009F3830" w:rsidP="00EC617A"/>
    <w:p w:rsidR="009F3830" w:rsidRDefault="009F3830" w:rsidP="00EC617A"/>
    <w:p w:rsidR="009F3830" w:rsidRDefault="009F3830" w:rsidP="00EC617A"/>
    <w:p w:rsidR="009F3830" w:rsidRDefault="009F3830" w:rsidP="00EC617A"/>
    <w:p w:rsidR="009F3830" w:rsidRDefault="009F3830" w:rsidP="00EC617A"/>
    <w:p w:rsidR="009F3830" w:rsidRDefault="009F3830" w:rsidP="00EC617A"/>
    <w:p w:rsidR="009F3830" w:rsidRDefault="009F3830" w:rsidP="00EC617A"/>
    <w:p w:rsidR="009F3830" w:rsidRDefault="009F3830" w:rsidP="00EC617A"/>
    <w:p w:rsidR="009F3830" w:rsidRDefault="009F3830" w:rsidP="00EC617A"/>
    <w:p w:rsidR="009F3830" w:rsidRDefault="009F3830" w:rsidP="00EC617A"/>
    <w:p w:rsidR="009F3830" w:rsidRDefault="009F3830" w:rsidP="00EC617A"/>
    <w:p w:rsidR="009F3830" w:rsidRDefault="009F3830" w:rsidP="00EC617A"/>
    <w:p w:rsidR="009F3830" w:rsidRDefault="009F3830" w:rsidP="00EC617A"/>
    <w:p w:rsidR="009F3830" w:rsidRDefault="009F3830" w:rsidP="00EC617A"/>
    <w:p w:rsidR="009F3830" w:rsidRDefault="009F3830" w:rsidP="009F3830">
      <w:r>
        <w:t>Likely Eligible</w:t>
      </w:r>
    </w:p>
    <w:p w:rsidR="009F3830" w:rsidRDefault="009F3830" w:rsidP="004B1766">
      <w:pPr>
        <w:pStyle w:val="NoSpacing"/>
        <w:tabs>
          <w:tab w:val="left" w:pos="360"/>
        </w:tabs>
      </w:pPr>
      <w:r>
        <w:t>•</w:t>
      </w:r>
      <w:r>
        <w:tab/>
        <w:t>Serious traffic accident and parent is hospitalized; relative or friend steps in to care for the children</w:t>
      </w:r>
    </w:p>
    <w:p w:rsidR="009F3830" w:rsidRDefault="009F3830" w:rsidP="004B1766">
      <w:pPr>
        <w:pStyle w:val="NoSpacing"/>
        <w:tabs>
          <w:tab w:val="left" w:pos="360"/>
        </w:tabs>
      </w:pPr>
      <w:r>
        <w:t>•</w:t>
      </w:r>
      <w:r>
        <w:tab/>
        <w:t>Parent experiences a mental health crisis and is hospitalized; relative or friend steps in to care for the children</w:t>
      </w:r>
    </w:p>
    <w:p w:rsidR="009F3830" w:rsidRDefault="009F3830" w:rsidP="004B1766">
      <w:pPr>
        <w:pStyle w:val="NoSpacing"/>
        <w:tabs>
          <w:tab w:val="left" w:pos="360"/>
        </w:tabs>
      </w:pPr>
      <w:r>
        <w:t>•</w:t>
      </w:r>
      <w:r>
        <w:tab/>
        <w:t xml:space="preserve">Police are called in the middle of the night and the parent is arrested and kept in jail; relative or friend steps in to care for the children </w:t>
      </w:r>
    </w:p>
    <w:p w:rsidR="009F3830" w:rsidRDefault="009F3830" w:rsidP="004B1766">
      <w:pPr>
        <w:pStyle w:val="NoSpacing"/>
        <w:tabs>
          <w:tab w:val="left" w:pos="360"/>
        </w:tabs>
      </w:pPr>
      <w:r>
        <w:t>•</w:t>
      </w:r>
      <w:r>
        <w:tab/>
        <w:t>Law enforcement arrests and deports the parent; relative or friend steps in to care for the children and the arrangement does not appear permanent</w:t>
      </w:r>
    </w:p>
    <w:p w:rsidR="009F3830" w:rsidRDefault="009F3830" w:rsidP="004B1766">
      <w:pPr>
        <w:pStyle w:val="NoSpacing"/>
        <w:tabs>
          <w:tab w:val="left" w:pos="360"/>
        </w:tabs>
      </w:pPr>
      <w:r>
        <w:t>•</w:t>
      </w:r>
      <w:r>
        <w:tab/>
        <w:t>Youth fled targeted violence in his/her own home and is staying temporarily with a relative or friend</w:t>
      </w:r>
    </w:p>
    <w:p w:rsidR="009F3830" w:rsidRDefault="009F3830" w:rsidP="004B1766">
      <w:pPr>
        <w:pStyle w:val="NoSpacing"/>
        <w:tabs>
          <w:tab w:val="left" w:pos="360"/>
        </w:tabs>
      </w:pPr>
      <w:r>
        <w:t>•</w:t>
      </w:r>
      <w:r>
        <w:tab/>
        <w:t>Youth lived with a sponsor upon arrival but has been told to leave, or his/ her sponsor becomes homeless</w:t>
      </w:r>
    </w:p>
    <w:p w:rsidR="009F3830" w:rsidRPr="004B1766" w:rsidRDefault="009F3830" w:rsidP="004B1766">
      <w:pPr>
        <w:pStyle w:val="NoSpacing"/>
        <w:tabs>
          <w:tab w:val="left" w:pos="360"/>
        </w:tabs>
      </w:pPr>
      <w:r>
        <w:t>•</w:t>
      </w:r>
      <w:r>
        <w:tab/>
      </w:r>
      <w:r w:rsidRPr="004B1766">
        <w:t>The student already was identified as homeless or is placed with family or friends experiencing homelessness as defined by the EHCY McKinney-Vento program</w:t>
      </w:r>
    </w:p>
    <w:p w:rsidR="004B1766" w:rsidRDefault="004B1766" w:rsidP="004B1766">
      <w:r>
        <w:t>Likely Ineligible</w:t>
      </w:r>
    </w:p>
    <w:p w:rsidR="004B1766" w:rsidRDefault="004B1766" w:rsidP="004B1766">
      <w:pPr>
        <w:pStyle w:val="NoSpacing"/>
        <w:tabs>
          <w:tab w:val="left" w:pos="360"/>
        </w:tabs>
      </w:pPr>
      <w:r>
        <w:t>•</w:t>
      </w:r>
      <w:r>
        <w:tab/>
        <w:t>Parent has a scheduled surgery and children are sent to a friend or relative while the parent recuperates</w:t>
      </w:r>
    </w:p>
    <w:p w:rsidR="004B1766" w:rsidRDefault="004B1766" w:rsidP="004B1766">
      <w:pPr>
        <w:pStyle w:val="NoSpacing"/>
        <w:tabs>
          <w:tab w:val="left" w:pos="360"/>
        </w:tabs>
      </w:pPr>
      <w:r>
        <w:t>•</w:t>
      </w:r>
      <w:r>
        <w:tab/>
        <w:t>Parent is suffering from a long-term illness and children are sent to a relative to provide childcare while parent is unable to care for the children</w:t>
      </w:r>
    </w:p>
    <w:p w:rsidR="004B1766" w:rsidRDefault="004B1766" w:rsidP="004B1766">
      <w:pPr>
        <w:pStyle w:val="NoSpacing"/>
        <w:tabs>
          <w:tab w:val="left" w:pos="360"/>
        </w:tabs>
      </w:pPr>
      <w:r>
        <w:t>•</w:t>
      </w:r>
      <w:r>
        <w:tab/>
        <w:t>Parent has been sentenced and determines where the children will live prior to incarceration taking place</w:t>
      </w:r>
    </w:p>
    <w:p w:rsidR="004B1766" w:rsidRDefault="004B1766" w:rsidP="004B1766">
      <w:pPr>
        <w:pStyle w:val="NoSpacing"/>
        <w:tabs>
          <w:tab w:val="left" w:pos="360"/>
        </w:tabs>
      </w:pPr>
      <w:r>
        <w:t>•</w:t>
      </w:r>
      <w:r>
        <w:tab/>
        <w:t>Youth arrive from another country to obtain a better education</w:t>
      </w:r>
    </w:p>
    <w:p w:rsidR="004B1766" w:rsidRDefault="004B1766" w:rsidP="004B1766">
      <w:pPr>
        <w:pStyle w:val="NoSpacing"/>
        <w:tabs>
          <w:tab w:val="left" w:pos="360"/>
        </w:tabs>
      </w:pPr>
      <w:r>
        <w:t>•</w:t>
      </w:r>
      <w:r>
        <w:tab/>
        <w:t xml:space="preserve">Youth are escaping community violence in another country and are living with someone without a time limit for staying </w:t>
      </w:r>
    </w:p>
    <w:p w:rsidR="004B1766" w:rsidRDefault="004B1766" w:rsidP="004B1766">
      <w:pPr>
        <w:pStyle w:val="NoSpacing"/>
        <w:tabs>
          <w:tab w:val="left" w:pos="360"/>
        </w:tabs>
      </w:pPr>
      <w:r>
        <w:t>•</w:t>
      </w:r>
      <w:r>
        <w:tab/>
        <w:t>A court determines the child should live with someone other than a parent or custodial guardian</w:t>
      </w:r>
    </w:p>
    <w:p w:rsidR="004B1766" w:rsidRDefault="004B1766" w:rsidP="004B1766">
      <w:pPr>
        <w:pStyle w:val="NoSpacing"/>
        <w:tabs>
          <w:tab w:val="left" w:pos="360"/>
        </w:tabs>
      </w:pPr>
      <w:r>
        <w:t>•</w:t>
      </w:r>
      <w:r>
        <w:tab/>
        <w:t>A CPS safety plan created with the parent has the children living with a relative or friend</w:t>
      </w:r>
    </w:p>
    <w:p w:rsidR="004B1766" w:rsidRDefault="004B1766" w:rsidP="00EC617A"/>
    <w:p w:rsidR="004B1766" w:rsidRDefault="004B1766" w:rsidP="00EC617A">
      <w:pPr>
        <w:sectPr w:rsidR="004B1766" w:rsidSect="009F3830">
          <w:type w:val="continuous"/>
          <w:pgSz w:w="12240" w:h="15840"/>
          <w:pgMar w:top="720" w:right="1440" w:bottom="720" w:left="1440" w:header="720" w:footer="720" w:gutter="0"/>
          <w:cols w:num="3" w:space="720"/>
          <w:docGrid w:linePitch="360"/>
        </w:sectPr>
      </w:pPr>
    </w:p>
    <w:p w:rsidR="004B1766" w:rsidRDefault="004B1766">
      <w:pPr>
        <w:spacing w:after="160" w:line="259" w:lineRule="auto"/>
      </w:pPr>
      <w:r>
        <w:br w:type="page"/>
      </w:r>
    </w:p>
    <w:p w:rsidR="001A2452" w:rsidRDefault="00D7083A" w:rsidP="00D7083A">
      <w:pPr>
        <w:tabs>
          <w:tab w:val="left" w:pos="7800"/>
        </w:tabs>
      </w:pPr>
      <w:r>
        <w:lastRenderedPageBreak/>
        <w:tab/>
      </w:r>
    </w:p>
    <w:p w:rsidR="00EC617A" w:rsidRPr="00880A16" w:rsidRDefault="00EC617A" w:rsidP="00EC617A">
      <w:r w:rsidRPr="00880A16">
        <w:t>Please note that these scenarios are for illustrative purposes only and do not capture all the factors a liaison should consider in making a determination. However, we recognize that there are situations listed as</w:t>
      </w:r>
      <w:r>
        <w:t>,</w:t>
      </w:r>
      <w:r w:rsidRPr="00880A16">
        <w:t xml:space="preserve"> </w:t>
      </w:r>
      <w:r>
        <w:t>“</w:t>
      </w:r>
      <w:r w:rsidRPr="00880A16">
        <w:t>likely ineligible</w:t>
      </w:r>
      <w:r>
        <w:t>,”</w:t>
      </w:r>
      <w:r w:rsidRPr="00880A16">
        <w:t xml:space="preserve"> in the </w:t>
      </w:r>
      <w:r>
        <w:t xml:space="preserve">prior chart </w:t>
      </w:r>
      <w:r w:rsidRPr="00880A16">
        <w:t>that are being identified as homeless</w:t>
      </w:r>
      <w:r>
        <w:t xml:space="preserve"> at this time</w:t>
      </w:r>
      <w:r w:rsidRPr="00880A16">
        <w:t>. Students currently flagged as homeless should remain flagged for the remainder of the 201</w:t>
      </w:r>
      <w:r>
        <w:t>9</w:t>
      </w:r>
      <w:r w:rsidRPr="00880A16">
        <w:t>-</w:t>
      </w:r>
      <w:r>
        <w:t>20</w:t>
      </w:r>
      <w:r w:rsidRPr="00880A16">
        <w:t xml:space="preserve"> academic year and be provided their McKinney-Vento rights.</w:t>
      </w:r>
    </w:p>
    <w:p w:rsidR="004B1766" w:rsidRDefault="004B1766">
      <w:pPr>
        <w:sectPr w:rsidR="004B1766" w:rsidSect="004B1766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3F5CF2" w:rsidRDefault="003F5CF2"/>
    <w:sectPr w:rsidR="003F5CF2" w:rsidSect="009F3830">
      <w:type w:val="continuous"/>
      <w:pgSz w:w="12240" w:h="15840"/>
      <w:pgMar w:top="720" w:right="1440" w:bottom="72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17A" w:rsidRDefault="00EC617A" w:rsidP="00EC617A">
      <w:pPr>
        <w:spacing w:after="0" w:line="240" w:lineRule="auto"/>
      </w:pPr>
      <w:r>
        <w:separator/>
      </w:r>
    </w:p>
  </w:endnote>
  <w:endnote w:type="continuationSeparator" w:id="0">
    <w:p w:rsidR="00EC617A" w:rsidRDefault="00EC617A" w:rsidP="00EC6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17A" w:rsidRDefault="00EC617A" w:rsidP="00EC617A">
      <w:pPr>
        <w:spacing w:after="0" w:line="240" w:lineRule="auto"/>
      </w:pPr>
      <w:r>
        <w:separator/>
      </w:r>
    </w:p>
  </w:footnote>
  <w:footnote w:type="continuationSeparator" w:id="0">
    <w:p w:rsidR="00EC617A" w:rsidRDefault="00EC617A" w:rsidP="00EC6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182" w:rsidRDefault="00EC617A">
    <w:pPr>
      <w:pStyle w:val="Header"/>
    </w:pPr>
    <w:r>
      <w:ptab w:relativeTo="margin" w:alignment="center" w:leader="none"/>
    </w:r>
    <w:r>
      <w:ptab w:relativeTo="margin" w:alignment="right" w:leader="none"/>
    </w:r>
    <w:r w:rsidR="00876182" w:rsidRPr="00876182">
      <w:t xml:space="preserve"> Attachment A</w:t>
    </w:r>
  </w:p>
  <w:p w:rsidR="00EC617A" w:rsidRDefault="00D7083A" w:rsidP="00876182">
    <w:pPr>
      <w:pStyle w:val="Header"/>
      <w:jc w:val="right"/>
    </w:pPr>
    <w:r>
      <w:t>Superintendent’s Memo No. 283-19</w:t>
    </w:r>
  </w:p>
  <w:p w:rsidR="00876182" w:rsidRDefault="00D7083A" w:rsidP="00876182">
    <w:pPr>
      <w:pStyle w:val="Header"/>
      <w:jc w:val="right"/>
    </w:pPr>
    <w:r>
      <w:t>December 13,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A1A21"/>
    <w:multiLevelType w:val="hybridMultilevel"/>
    <w:tmpl w:val="26005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112D0D"/>
    <w:multiLevelType w:val="hybridMultilevel"/>
    <w:tmpl w:val="32AAF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077E0F"/>
    <w:multiLevelType w:val="hybridMultilevel"/>
    <w:tmpl w:val="0ED090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87520B"/>
    <w:multiLevelType w:val="hybridMultilevel"/>
    <w:tmpl w:val="786A10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0F2B5A"/>
    <w:multiLevelType w:val="hybridMultilevel"/>
    <w:tmpl w:val="C6DA0F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17A"/>
    <w:rsid w:val="001A2452"/>
    <w:rsid w:val="00217A42"/>
    <w:rsid w:val="003F5CF2"/>
    <w:rsid w:val="004B1766"/>
    <w:rsid w:val="008328D3"/>
    <w:rsid w:val="008654AF"/>
    <w:rsid w:val="00876182"/>
    <w:rsid w:val="009F3830"/>
    <w:rsid w:val="00AC72E3"/>
    <w:rsid w:val="00B818DD"/>
    <w:rsid w:val="00D7083A"/>
    <w:rsid w:val="00EC617A"/>
    <w:rsid w:val="00EC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0E06343-57EE-4B96-8D4F-6E894179F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17A"/>
    <w:pPr>
      <w:spacing w:after="200" w:line="276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17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17A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table" w:styleId="TableGrid">
    <w:name w:val="Table Grid"/>
    <w:basedOn w:val="TableNormal"/>
    <w:uiPriority w:val="39"/>
    <w:rsid w:val="00EC6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6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17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C6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17A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4B1766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B17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Examples of Planned and Unplanned Unaccompanied Youth Scenarios</vt:lpstr>
    </vt:vector>
  </TitlesOfParts>
  <Company>College of William and Mary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Examples of Planned and Unplanned Unaccompanied Youth Scenarios</dc:title>
  <dc:subject/>
  <dc:creator>Popp, Patricia A</dc:creator>
  <cp:keywords/>
  <dc:description/>
  <cp:lastModifiedBy>Jennings, Laura (DOE)</cp:lastModifiedBy>
  <cp:revision>2</cp:revision>
  <dcterms:created xsi:type="dcterms:W3CDTF">2019-12-11T14:51:00Z</dcterms:created>
  <dcterms:modified xsi:type="dcterms:W3CDTF">2019-12-11T14:51:00Z</dcterms:modified>
</cp:coreProperties>
</file>