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D02865">
        <w:rPr>
          <w:szCs w:val="24"/>
        </w:rPr>
        <w:t>205</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823B7">
        <w:rPr>
          <w:szCs w:val="24"/>
        </w:rPr>
        <w:t xml:space="preserve">August </w:t>
      </w:r>
      <w:r w:rsidR="00D02865">
        <w:rPr>
          <w:szCs w:val="24"/>
        </w:rPr>
        <w:t>30</w:t>
      </w:r>
      <w:r w:rsidR="007823B7">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0D72C6">
      <w:pPr>
        <w:pStyle w:val="Heading2"/>
        <w:tabs>
          <w:tab w:val="left" w:pos="1800"/>
        </w:tabs>
        <w:spacing w:after="0" w:line="240" w:lineRule="auto"/>
        <w:rPr>
          <w:rFonts w:cs="Times New Roman"/>
          <w:szCs w:val="24"/>
          <w:lang w:val="en"/>
        </w:rPr>
      </w:pPr>
      <w:r w:rsidRPr="002F2AF8">
        <w:rPr>
          <w:szCs w:val="24"/>
        </w:rPr>
        <w:t xml:space="preserve">SUBJECT: </w:t>
      </w:r>
      <w:r w:rsidR="00D95780" w:rsidRPr="002F2AF8">
        <w:rPr>
          <w:szCs w:val="24"/>
        </w:rPr>
        <w:tab/>
      </w:r>
      <w:r w:rsidR="007823B7" w:rsidRPr="0084058C">
        <w:rPr>
          <w:rFonts w:cs="Times New Roman"/>
          <w:szCs w:val="24"/>
          <w:lang w:val="en"/>
        </w:rPr>
        <w:t>September is Attendance Awareness Month</w:t>
      </w:r>
    </w:p>
    <w:p w:rsidR="000D72C6" w:rsidRPr="000D72C6" w:rsidRDefault="000D72C6" w:rsidP="000D72C6">
      <w:pPr>
        <w:rPr>
          <w:lang w:val="en"/>
        </w:rPr>
      </w:pPr>
    </w:p>
    <w:p w:rsidR="007823B7" w:rsidRDefault="007823B7" w:rsidP="007823B7">
      <w:pPr>
        <w:pStyle w:val="NoSpacing"/>
        <w:rPr>
          <w:rFonts w:ascii="Times New Roman" w:hAnsi="Times New Roman" w:cs="Times New Roman"/>
          <w:sz w:val="24"/>
          <w:szCs w:val="24"/>
          <w:lang w:val="en"/>
        </w:rPr>
      </w:pPr>
      <w:r w:rsidRPr="00572254">
        <w:rPr>
          <w:rFonts w:ascii="Times New Roman" w:hAnsi="Times New Roman" w:cs="Times New Roman"/>
          <w:sz w:val="24"/>
          <w:szCs w:val="24"/>
          <w:lang w:val="en"/>
        </w:rPr>
        <w:t>School attendance i</w:t>
      </w:r>
      <w:r w:rsidR="007C041F">
        <w:rPr>
          <w:rFonts w:ascii="Times New Roman" w:hAnsi="Times New Roman" w:cs="Times New Roman"/>
          <w:sz w:val="24"/>
          <w:szCs w:val="24"/>
          <w:lang w:val="en"/>
        </w:rPr>
        <w:t>s essential to academic success.</w:t>
      </w:r>
      <w:r w:rsidR="00ED057C">
        <w:rPr>
          <w:rFonts w:ascii="Times New Roman" w:hAnsi="Times New Roman" w:cs="Times New Roman"/>
          <w:sz w:val="24"/>
          <w:szCs w:val="24"/>
          <w:lang w:val="en"/>
        </w:rPr>
        <w:t xml:space="preserve"> </w:t>
      </w:r>
      <w:r w:rsidRPr="00572254">
        <w:rPr>
          <w:rFonts w:ascii="Times New Roman" w:hAnsi="Times New Roman" w:cs="Times New Roman"/>
          <w:sz w:val="24"/>
          <w:szCs w:val="24"/>
          <w:lang w:val="en"/>
        </w:rPr>
        <w:t xml:space="preserve"> Research shows that missing as little as two days every month, or ten percent of the school year </w:t>
      </w:r>
      <w:r>
        <w:rPr>
          <w:rFonts w:ascii="Times New Roman" w:hAnsi="Times New Roman" w:cs="Times New Roman"/>
          <w:sz w:val="24"/>
          <w:szCs w:val="24"/>
          <w:lang w:val="en"/>
        </w:rPr>
        <w:t xml:space="preserve">can have a significant impact on students.  </w:t>
      </w:r>
      <w:r w:rsidRPr="00572254">
        <w:rPr>
          <w:rFonts w:ascii="Times New Roman" w:hAnsi="Times New Roman" w:cs="Times New Roman"/>
          <w:sz w:val="24"/>
          <w:szCs w:val="24"/>
          <w:lang w:val="en"/>
        </w:rPr>
        <w:t>Missing school can translate into third-graders unable to master reading, sixth-graders failing courses and ultimately, teens dropping out of high school.</w:t>
      </w:r>
      <w:r>
        <w:rPr>
          <w:rFonts w:ascii="Times New Roman" w:hAnsi="Times New Roman" w:cs="Times New Roman"/>
          <w:sz w:val="24"/>
          <w:szCs w:val="24"/>
          <w:lang w:val="en"/>
        </w:rPr>
        <w:t xml:space="preserve">  In Virginia, missing ten percent of the school year </w:t>
      </w:r>
      <w:r w:rsidRPr="00572254">
        <w:rPr>
          <w:rFonts w:ascii="Times New Roman" w:hAnsi="Times New Roman" w:cs="Times New Roman"/>
          <w:sz w:val="24"/>
          <w:szCs w:val="24"/>
          <w:lang w:val="en"/>
        </w:rPr>
        <w:t xml:space="preserve">is considered chronic absenteeism.  </w:t>
      </w:r>
      <w:r>
        <w:rPr>
          <w:rFonts w:ascii="Times New Roman" w:hAnsi="Times New Roman" w:cs="Times New Roman"/>
          <w:sz w:val="24"/>
          <w:szCs w:val="24"/>
          <w:lang w:val="en"/>
        </w:rPr>
        <w:t>Chronic absenteeism includes excused and unexcused absences.</w:t>
      </w:r>
    </w:p>
    <w:p w:rsidR="000819F3" w:rsidRDefault="000819F3" w:rsidP="007823B7">
      <w:pPr>
        <w:pStyle w:val="NoSpacing"/>
        <w:rPr>
          <w:rFonts w:ascii="Times New Roman" w:hAnsi="Times New Roman" w:cs="Times New Roman"/>
          <w:sz w:val="24"/>
          <w:szCs w:val="24"/>
          <w:lang w:val="en"/>
        </w:rPr>
      </w:pPr>
    </w:p>
    <w:p w:rsidR="007823B7" w:rsidRPr="00FB6CCC" w:rsidRDefault="007823B7" w:rsidP="007823B7">
      <w:pPr>
        <w:pStyle w:val="NoSpacing"/>
        <w:rPr>
          <w:rFonts w:ascii="Times New Roman" w:hAnsi="Times New Roman" w:cs="Times New Roman"/>
          <w:sz w:val="24"/>
          <w:szCs w:val="24"/>
          <w:lang w:val="en"/>
        </w:rPr>
      </w:pPr>
      <w:r w:rsidRPr="00FB6CCC">
        <w:rPr>
          <w:rFonts w:ascii="Times New Roman" w:hAnsi="Times New Roman" w:cs="Times New Roman"/>
          <w:sz w:val="24"/>
          <w:szCs w:val="24"/>
          <w:lang w:val="en"/>
        </w:rPr>
        <w:t xml:space="preserve">This September will mark the seventh annual </w:t>
      </w:r>
      <w:hyperlink r:id="rId10" w:history="1">
        <w:r w:rsidRPr="00FB6CCC">
          <w:rPr>
            <w:rFonts w:ascii="Times New Roman" w:hAnsi="Times New Roman" w:cs="Times New Roman"/>
            <w:color w:val="0000FF"/>
            <w:sz w:val="24"/>
            <w:szCs w:val="24"/>
            <w:u w:val="single"/>
            <w:lang w:val="en"/>
          </w:rPr>
          <w:t>Attendance Awareness Month</w:t>
        </w:r>
      </w:hyperlink>
      <w:r w:rsidRPr="00FB6CCC">
        <w:rPr>
          <w:rFonts w:ascii="Times New Roman" w:hAnsi="Times New Roman" w:cs="Times New Roman"/>
          <w:sz w:val="24"/>
          <w:szCs w:val="24"/>
          <w:lang w:val="en"/>
        </w:rPr>
        <w:t xml:space="preserve"> campaign, an opportunity to rally your community, advocates, policymakers, volunteers, funders, and supporters around the importance of attendance and its role in academic achievement.  The campaign is spearheaded by </w:t>
      </w:r>
      <w:hyperlink r:id="rId11" w:history="1">
        <w:r w:rsidRPr="00FB6CCC">
          <w:rPr>
            <w:rFonts w:ascii="Times New Roman" w:hAnsi="Times New Roman" w:cs="Times New Roman"/>
            <w:i/>
            <w:iCs/>
            <w:color w:val="0000FF"/>
            <w:sz w:val="24"/>
            <w:szCs w:val="24"/>
            <w:u w:val="single"/>
            <w:lang w:val="en"/>
          </w:rPr>
          <w:t>Attendance Works</w:t>
        </w:r>
      </w:hyperlink>
      <w:r w:rsidRPr="00FB6CCC">
        <w:rPr>
          <w:rFonts w:ascii="Times New Roman" w:hAnsi="Times New Roman" w:cs="Times New Roman"/>
          <w:sz w:val="24"/>
          <w:szCs w:val="24"/>
          <w:lang w:val="en"/>
        </w:rPr>
        <w:t xml:space="preserve">, a national initiative that promotes better policy and practice around school attendance. </w:t>
      </w:r>
    </w:p>
    <w:p w:rsidR="007823B7" w:rsidRDefault="007823B7" w:rsidP="007823B7">
      <w:pPr>
        <w:pStyle w:val="NoSpacing"/>
        <w:rPr>
          <w:rFonts w:ascii="Times New Roman" w:hAnsi="Times New Roman" w:cs="Times New Roman"/>
          <w:sz w:val="24"/>
          <w:szCs w:val="24"/>
          <w:lang w:val="en"/>
        </w:rPr>
      </w:pPr>
    </w:p>
    <w:p w:rsidR="007823B7" w:rsidRPr="00941C4D" w:rsidRDefault="007823B7" w:rsidP="007823B7">
      <w:pPr>
        <w:pStyle w:val="NoSpacing"/>
        <w:rPr>
          <w:rFonts w:ascii="Times New Roman" w:hAnsi="Times New Roman" w:cs="Times New Roman"/>
          <w:sz w:val="24"/>
          <w:szCs w:val="24"/>
          <w:lang w:val="en"/>
        </w:rPr>
      </w:pPr>
      <w:r w:rsidRPr="00941C4D">
        <w:rPr>
          <w:rFonts w:ascii="Times New Roman" w:hAnsi="Times New Roman" w:cs="Times New Roman"/>
          <w:sz w:val="24"/>
          <w:szCs w:val="24"/>
          <w:lang w:val="en"/>
        </w:rPr>
        <w:t>A</w:t>
      </w:r>
      <w:r w:rsidR="007C041F" w:rsidRPr="00941C4D">
        <w:rPr>
          <w:rFonts w:ascii="Times New Roman" w:hAnsi="Times New Roman" w:cs="Times New Roman"/>
          <w:sz w:val="24"/>
          <w:szCs w:val="24"/>
          <w:lang w:val="en"/>
        </w:rPr>
        <w:t>s a part of the "Call to Action</w:t>
      </w:r>
      <w:r w:rsidRPr="00941C4D">
        <w:rPr>
          <w:rFonts w:ascii="Times New Roman" w:hAnsi="Times New Roman" w:cs="Times New Roman"/>
          <w:sz w:val="24"/>
          <w:szCs w:val="24"/>
          <w:lang w:val="en"/>
        </w:rPr>
        <w:t xml:space="preserve">" from the United States </w:t>
      </w:r>
      <w:r w:rsidR="007C041F" w:rsidRPr="00941C4D">
        <w:rPr>
          <w:rFonts w:ascii="Times New Roman" w:hAnsi="Times New Roman" w:cs="Times New Roman"/>
          <w:sz w:val="24"/>
          <w:szCs w:val="24"/>
          <w:lang w:val="en"/>
        </w:rPr>
        <w:t>Department of Education (USDOE)</w:t>
      </w:r>
      <w:r w:rsidR="00305911" w:rsidRPr="00941C4D">
        <w:rPr>
          <w:rFonts w:ascii="Times New Roman" w:hAnsi="Times New Roman" w:cs="Times New Roman"/>
          <w:sz w:val="24"/>
          <w:szCs w:val="24"/>
          <w:lang w:val="en"/>
        </w:rPr>
        <w:t>,</w:t>
      </w:r>
      <w:r w:rsidRPr="00941C4D">
        <w:rPr>
          <w:rFonts w:ascii="Times New Roman" w:hAnsi="Times New Roman" w:cs="Times New Roman"/>
          <w:sz w:val="24"/>
          <w:szCs w:val="24"/>
          <w:lang w:val="en"/>
        </w:rPr>
        <w:t xml:space="preserve"> and the </w:t>
      </w:r>
      <w:hyperlink r:id="rId12" w:history="1">
        <w:r w:rsidRPr="00941C4D">
          <w:rPr>
            <w:rFonts w:ascii="Times New Roman" w:hAnsi="Times New Roman" w:cs="Times New Roman"/>
            <w:color w:val="0000FF"/>
            <w:sz w:val="24"/>
            <w:szCs w:val="24"/>
            <w:u w:val="single"/>
            <w:lang w:val="en"/>
          </w:rPr>
          <w:t>Every Student, Every Day</w:t>
        </w:r>
      </w:hyperlink>
      <w:r w:rsidRPr="00941C4D">
        <w:rPr>
          <w:rFonts w:ascii="Times New Roman" w:hAnsi="Times New Roman" w:cs="Times New Roman"/>
          <w:sz w:val="24"/>
          <w:szCs w:val="24"/>
          <w:lang w:val="en"/>
        </w:rPr>
        <w:t xml:space="preserve"> Initiative, superintendents are encouraged to: </w:t>
      </w:r>
    </w:p>
    <w:p w:rsidR="007823B7" w:rsidRPr="00941C4D" w:rsidRDefault="007823B7" w:rsidP="007823B7">
      <w:pPr>
        <w:pStyle w:val="NoSpacing"/>
        <w:rPr>
          <w:rFonts w:ascii="Times New Roman" w:hAnsi="Times New Roman" w:cs="Times New Roman"/>
          <w:b/>
          <w:bCs/>
          <w:sz w:val="24"/>
          <w:szCs w:val="24"/>
          <w:lang w:val="en"/>
        </w:rPr>
      </w:pPr>
    </w:p>
    <w:p w:rsidR="007823B7" w:rsidRPr="00572254" w:rsidRDefault="007823B7" w:rsidP="007823B7">
      <w:pPr>
        <w:pStyle w:val="NoSpacing"/>
        <w:numPr>
          <w:ilvl w:val="0"/>
          <w:numId w:val="2"/>
        </w:numPr>
        <w:rPr>
          <w:rFonts w:ascii="Times New Roman" w:hAnsi="Times New Roman" w:cs="Times New Roman"/>
          <w:sz w:val="24"/>
          <w:szCs w:val="24"/>
          <w:lang w:val="en"/>
        </w:rPr>
      </w:pPr>
      <w:r w:rsidRPr="00572254">
        <w:rPr>
          <w:rFonts w:ascii="Times New Roman" w:hAnsi="Times New Roman" w:cs="Times New Roman"/>
          <w:b/>
          <w:bCs/>
          <w:sz w:val="24"/>
          <w:szCs w:val="24"/>
          <w:lang w:val="en"/>
        </w:rPr>
        <w:t>Prioritize Attendance</w:t>
      </w:r>
      <w:r w:rsidRPr="00572254">
        <w:rPr>
          <w:rFonts w:ascii="Times New Roman" w:hAnsi="Times New Roman" w:cs="Times New Roman"/>
          <w:sz w:val="24"/>
          <w:szCs w:val="24"/>
          <w:lang w:val="en"/>
        </w:rPr>
        <w:t>: Make clear that improved student attendance is one of the top priorities for your teachers and principal;</w:t>
      </w:r>
    </w:p>
    <w:p w:rsidR="007823B7" w:rsidRDefault="007823B7" w:rsidP="007823B7">
      <w:pPr>
        <w:pStyle w:val="NoSpacing"/>
        <w:rPr>
          <w:rFonts w:ascii="Times New Roman" w:hAnsi="Times New Roman" w:cs="Times New Roman"/>
          <w:b/>
          <w:bCs/>
          <w:sz w:val="24"/>
          <w:szCs w:val="24"/>
          <w:lang w:val="en"/>
        </w:rPr>
      </w:pPr>
    </w:p>
    <w:p w:rsidR="007823B7" w:rsidRPr="00572254" w:rsidRDefault="007823B7" w:rsidP="007823B7">
      <w:pPr>
        <w:pStyle w:val="NoSpacing"/>
        <w:numPr>
          <w:ilvl w:val="0"/>
          <w:numId w:val="2"/>
        </w:numPr>
        <w:rPr>
          <w:rFonts w:ascii="Times New Roman" w:hAnsi="Times New Roman" w:cs="Times New Roman"/>
          <w:sz w:val="24"/>
          <w:szCs w:val="24"/>
          <w:lang w:val="en"/>
        </w:rPr>
      </w:pPr>
      <w:r w:rsidRPr="00572254">
        <w:rPr>
          <w:rFonts w:ascii="Times New Roman" w:hAnsi="Times New Roman" w:cs="Times New Roman"/>
          <w:b/>
          <w:bCs/>
          <w:sz w:val="24"/>
          <w:szCs w:val="24"/>
          <w:lang w:val="en"/>
        </w:rPr>
        <w:t>Mobilize the Community</w:t>
      </w:r>
      <w:r w:rsidRPr="00572254">
        <w:rPr>
          <w:rFonts w:ascii="Times New Roman" w:hAnsi="Times New Roman" w:cs="Times New Roman"/>
          <w:sz w:val="24"/>
          <w:szCs w:val="24"/>
          <w:lang w:val="en"/>
        </w:rPr>
        <w:t>: Reach out to make improved student attendance a broadly owned and widely shared civic priority; and</w:t>
      </w:r>
    </w:p>
    <w:p w:rsidR="007823B7" w:rsidRDefault="007823B7" w:rsidP="007823B7">
      <w:pPr>
        <w:pStyle w:val="NoSpacing"/>
        <w:rPr>
          <w:rFonts w:ascii="Times New Roman" w:hAnsi="Times New Roman" w:cs="Times New Roman"/>
          <w:b/>
          <w:bCs/>
          <w:sz w:val="24"/>
          <w:szCs w:val="24"/>
          <w:lang w:val="en"/>
        </w:rPr>
      </w:pPr>
    </w:p>
    <w:p w:rsidR="007823B7" w:rsidRPr="00572254" w:rsidRDefault="007823B7" w:rsidP="007823B7">
      <w:pPr>
        <w:pStyle w:val="NoSpacing"/>
        <w:numPr>
          <w:ilvl w:val="0"/>
          <w:numId w:val="2"/>
        </w:numPr>
        <w:rPr>
          <w:rFonts w:ascii="Times New Roman" w:hAnsi="Times New Roman" w:cs="Times New Roman"/>
          <w:sz w:val="24"/>
          <w:szCs w:val="24"/>
          <w:lang w:val="en"/>
        </w:rPr>
      </w:pPr>
      <w:r w:rsidRPr="00572254">
        <w:rPr>
          <w:rFonts w:ascii="Times New Roman" w:hAnsi="Times New Roman" w:cs="Times New Roman"/>
          <w:b/>
          <w:bCs/>
          <w:sz w:val="24"/>
          <w:szCs w:val="24"/>
          <w:lang w:val="en"/>
        </w:rPr>
        <w:t>Drive with Data</w:t>
      </w:r>
      <w:r w:rsidRPr="00572254">
        <w:rPr>
          <w:rFonts w:ascii="Times New Roman" w:hAnsi="Times New Roman" w:cs="Times New Roman"/>
          <w:sz w:val="24"/>
          <w:szCs w:val="24"/>
          <w:lang w:val="en"/>
        </w:rPr>
        <w:t>: Use data to map the attendance gap, showing how many students are chronically absent and if they are concentrated in particular grades, schools, and student populations.</w:t>
      </w:r>
    </w:p>
    <w:p w:rsidR="007823B7" w:rsidRDefault="007823B7" w:rsidP="007823B7">
      <w:pPr>
        <w:pStyle w:val="NoSpacing"/>
        <w:rPr>
          <w:rFonts w:ascii="Times New Roman" w:hAnsi="Times New Roman" w:cs="Times New Roman"/>
          <w:sz w:val="24"/>
          <w:szCs w:val="24"/>
          <w:lang w:val="en"/>
        </w:rPr>
      </w:pPr>
    </w:p>
    <w:p w:rsidR="007823B7" w:rsidRPr="00CA13C3" w:rsidRDefault="007823B7" w:rsidP="007823B7">
      <w:pPr>
        <w:pStyle w:val="NoSpacing"/>
        <w:rPr>
          <w:rFonts w:ascii="Times New Roman" w:hAnsi="Times New Roman" w:cs="Times New Roman"/>
          <w:sz w:val="24"/>
          <w:szCs w:val="24"/>
          <w:lang w:val="en"/>
        </w:rPr>
      </w:pPr>
      <w:r w:rsidRPr="00741130">
        <w:rPr>
          <w:rFonts w:ascii="Times New Roman" w:hAnsi="Times New Roman" w:cs="Times New Roman"/>
          <w:sz w:val="24"/>
          <w:szCs w:val="24"/>
          <w:lang w:val="en"/>
        </w:rPr>
        <w:t xml:space="preserve">The Virginia Department of Education (VDOE), in collaboration with </w:t>
      </w:r>
      <w:r w:rsidRPr="00741130">
        <w:rPr>
          <w:rFonts w:ascii="Times New Roman" w:hAnsi="Times New Roman" w:cs="Times New Roman"/>
          <w:i/>
          <w:sz w:val="24"/>
          <w:szCs w:val="24"/>
          <w:lang w:val="en"/>
        </w:rPr>
        <w:t>Attendance Works</w:t>
      </w:r>
      <w:r w:rsidR="00392DA2">
        <w:rPr>
          <w:rFonts w:ascii="Times New Roman" w:hAnsi="Times New Roman" w:cs="Times New Roman"/>
          <w:sz w:val="24"/>
          <w:szCs w:val="24"/>
          <w:lang w:val="en"/>
        </w:rPr>
        <w:t xml:space="preserve">, has </w:t>
      </w:r>
      <w:r w:rsidRPr="00741130">
        <w:rPr>
          <w:rFonts w:ascii="Times New Roman" w:hAnsi="Times New Roman" w:cs="Times New Roman"/>
          <w:sz w:val="24"/>
          <w:szCs w:val="24"/>
          <w:lang w:val="en"/>
        </w:rPr>
        <w:t xml:space="preserve">created a 12 module series entitled </w:t>
      </w:r>
      <w:hyperlink r:id="rId13" w:history="1">
        <w:r w:rsidRPr="00741130">
          <w:rPr>
            <w:rFonts w:ascii="Times New Roman" w:hAnsi="Times New Roman" w:cs="Times New Roman"/>
            <w:color w:val="0000FF"/>
            <w:sz w:val="24"/>
            <w:szCs w:val="24"/>
            <w:u w:val="single"/>
            <w:lang w:val="en"/>
          </w:rPr>
          <w:t>Attendance and Truancy Among Virginia Students</w:t>
        </w:r>
      </w:hyperlink>
      <w:r w:rsidRPr="00ED057C">
        <w:rPr>
          <w:rFonts w:ascii="Times New Roman" w:hAnsi="Times New Roman" w:cs="Times New Roman"/>
          <w:sz w:val="24"/>
          <w:szCs w:val="24"/>
          <w:lang w:val="en"/>
        </w:rPr>
        <w:t>.</w:t>
      </w:r>
      <w:r w:rsidRPr="00741130">
        <w:rPr>
          <w:rFonts w:ascii="Times New Roman" w:hAnsi="Times New Roman" w:cs="Times New Roman"/>
          <w:sz w:val="24"/>
          <w:szCs w:val="24"/>
          <w:lang w:val="en"/>
        </w:rPr>
        <w:t xml:space="preserve">  The modules include a Participant/Facilitator Guide, </w:t>
      </w:r>
      <w:r w:rsidR="00ED057C">
        <w:rPr>
          <w:rFonts w:ascii="Times New Roman" w:hAnsi="Times New Roman" w:cs="Times New Roman"/>
          <w:sz w:val="24"/>
          <w:szCs w:val="24"/>
          <w:lang w:val="en"/>
        </w:rPr>
        <w:t xml:space="preserve">which </w:t>
      </w:r>
      <w:r w:rsidRPr="00741130">
        <w:rPr>
          <w:rFonts w:ascii="Times New Roman" w:hAnsi="Times New Roman" w:cs="Times New Roman"/>
          <w:sz w:val="24"/>
          <w:szCs w:val="24"/>
          <w:lang w:val="en"/>
        </w:rPr>
        <w:t xml:space="preserve">can be viewed individually or in a group, </w:t>
      </w:r>
      <w:r w:rsidRPr="00741130">
        <w:rPr>
          <w:rFonts w:ascii="Times New Roman" w:hAnsi="Times New Roman" w:cs="Times New Roman"/>
          <w:sz w:val="24"/>
          <w:szCs w:val="24"/>
          <w:lang w:val="en"/>
        </w:rPr>
        <w:lastRenderedPageBreak/>
        <w:t>and</w:t>
      </w:r>
      <w:r w:rsidRPr="007823B7">
        <w:rPr>
          <w:rFonts w:ascii="Times New Roman" w:hAnsi="Times New Roman" w:cs="Times New Roman"/>
          <w:sz w:val="24"/>
          <w:szCs w:val="24"/>
          <w:lang w:val="en"/>
        </w:rPr>
        <w:t xml:space="preserve"> will assist schools and divisions in looking at current practice and at ways to improve future practice with the goal of addressing and eliminating chronic absenteeism, and ultimately boost student outcomes and success. </w:t>
      </w:r>
      <w:r w:rsidR="00113054">
        <w:rPr>
          <w:rFonts w:ascii="Times New Roman" w:hAnsi="Times New Roman" w:cs="Times New Roman"/>
          <w:sz w:val="24"/>
          <w:szCs w:val="24"/>
          <w:lang w:val="en"/>
        </w:rPr>
        <w:t>A</w:t>
      </w:r>
      <w:r w:rsidR="00392DA2">
        <w:rPr>
          <w:rFonts w:ascii="Times New Roman" w:hAnsi="Times New Roman" w:cs="Times New Roman"/>
          <w:sz w:val="24"/>
          <w:szCs w:val="24"/>
          <w:lang w:val="en"/>
        </w:rPr>
        <w:t>lso</w:t>
      </w:r>
      <w:r w:rsidR="00113054">
        <w:rPr>
          <w:rFonts w:ascii="Times New Roman" w:hAnsi="Times New Roman" w:cs="Times New Roman"/>
          <w:sz w:val="24"/>
          <w:szCs w:val="24"/>
          <w:lang w:val="en"/>
        </w:rPr>
        <w:t xml:space="preserve">, a Chronic Absenteeism webinar will be hosted by the Virginia Department of Education on Friday, September 27, </w:t>
      </w:r>
      <w:r w:rsidR="005D68B2">
        <w:rPr>
          <w:rFonts w:ascii="Times New Roman" w:hAnsi="Times New Roman" w:cs="Times New Roman"/>
          <w:sz w:val="24"/>
          <w:szCs w:val="24"/>
          <w:lang w:val="en"/>
        </w:rPr>
        <w:t>2019,</w:t>
      </w:r>
      <w:r w:rsidR="00113054">
        <w:rPr>
          <w:rFonts w:ascii="Times New Roman" w:hAnsi="Times New Roman" w:cs="Times New Roman"/>
          <w:sz w:val="24"/>
          <w:szCs w:val="24"/>
          <w:lang w:val="en"/>
        </w:rPr>
        <w:t xml:space="preserve"> from 9:00 a.m. to 10:00 a.m. Information on accessing the webinar will be sent to Superintendents in early September.</w:t>
      </w:r>
    </w:p>
    <w:p w:rsidR="007823B7" w:rsidRPr="00572254" w:rsidRDefault="007823B7" w:rsidP="007823B7">
      <w:pPr>
        <w:pStyle w:val="NoSpacing"/>
        <w:rPr>
          <w:rFonts w:ascii="Times New Roman" w:hAnsi="Times New Roman" w:cs="Times New Roman"/>
          <w:sz w:val="24"/>
          <w:szCs w:val="24"/>
          <w:lang w:val="en"/>
        </w:rPr>
      </w:pPr>
    </w:p>
    <w:p w:rsidR="007823B7" w:rsidRPr="00250E21" w:rsidRDefault="007823B7" w:rsidP="007823B7">
      <w:pPr>
        <w:pStyle w:val="NoSpacing"/>
        <w:rPr>
          <w:rFonts w:ascii="Times New Roman" w:hAnsi="Times New Roman" w:cs="Times New Roman"/>
          <w:sz w:val="24"/>
          <w:szCs w:val="24"/>
          <w:lang w:val="en"/>
        </w:rPr>
      </w:pPr>
      <w:r w:rsidRPr="00250E21">
        <w:rPr>
          <w:rFonts w:ascii="Times New Roman" w:hAnsi="Times New Roman" w:cs="Times New Roman"/>
          <w:sz w:val="24"/>
          <w:szCs w:val="24"/>
          <w:lang w:val="en"/>
        </w:rPr>
        <w:t>Additional information and resources, including a</w:t>
      </w:r>
      <w:r w:rsidR="00826A9D" w:rsidRPr="00250E21">
        <w:rPr>
          <w:rFonts w:ascii="Times New Roman" w:hAnsi="Times New Roman" w:cs="Times New Roman"/>
          <w:sz w:val="24"/>
          <w:szCs w:val="24"/>
          <w:lang w:val="en"/>
        </w:rPr>
        <w:t>n</w:t>
      </w:r>
      <w:r w:rsidRPr="00250E21">
        <w:rPr>
          <w:rFonts w:ascii="Times New Roman" w:hAnsi="Times New Roman" w:cs="Times New Roman"/>
          <w:sz w:val="24"/>
          <w:szCs w:val="24"/>
          <w:lang w:val="en"/>
        </w:rPr>
        <w:t xml:space="preserve"> </w:t>
      </w:r>
      <w:hyperlink r:id="rId14" w:history="1">
        <w:r w:rsidR="00826A9D" w:rsidRPr="00250E21">
          <w:rPr>
            <w:rStyle w:val="Hyperlink"/>
            <w:rFonts w:ascii="Times New Roman" w:hAnsi="Times New Roman" w:cs="Times New Roman"/>
            <w:sz w:val="24"/>
            <w:szCs w:val="24"/>
            <w:lang w:val="en"/>
          </w:rPr>
          <w:t xml:space="preserve">Attendance Awareness Month </w:t>
        </w:r>
        <w:r w:rsidRPr="00250E21">
          <w:rPr>
            <w:rStyle w:val="Hyperlink"/>
            <w:rFonts w:ascii="Times New Roman" w:hAnsi="Times New Roman" w:cs="Times New Roman"/>
            <w:sz w:val="24"/>
            <w:szCs w:val="24"/>
            <w:lang w:val="en"/>
          </w:rPr>
          <w:t>Tool Kit</w:t>
        </w:r>
      </w:hyperlink>
      <w:r w:rsidR="00826A9D" w:rsidRPr="00250E21">
        <w:rPr>
          <w:rFonts w:ascii="Times New Roman" w:hAnsi="Times New Roman" w:cs="Times New Roman"/>
          <w:sz w:val="24"/>
          <w:szCs w:val="24"/>
          <w:lang w:val="en"/>
        </w:rPr>
        <w:t xml:space="preserve">, are available on the </w:t>
      </w:r>
      <w:hyperlink r:id="rId15" w:history="1">
        <w:r w:rsidRPr="00250E21">
          <w:rPr>
            <w:rFonts w:ascii="Times New Roman" w:hAnsi="Times New Roman" w:cs="Times New Roman"/>
            <w:i/>
            <w:iCs/>
            <w:color w:val="0000FF"/>
            <w:sz w:val="24"/>
            <w:szCs w:val="24"/>
            <w:u w:val="single"/>
            <w:lang w:val="en"/>
          </w:rPr>
          <w:t>Attendance Works</w:t>
        </w:r>
      </w:hyperlink>
      <w:r w:rsidR="00826A9D" w:rsidRPr="00250E21">
        <w:rPr>
          <w:rFonts w:ascii="Times New Roman" w:hAnsi="Times New Roman" w:cs="Times New Roman"/>
          <w:sz w:val="24"/>
          <w:szCs w:val="24"/>
          <w:lang w:val="en"/>
        </w:rPr>
        <w:t xml:space="preserve"> website. </w:t>
      </w:r>
      <w:r w:rsidR="00ED057C">
        <w:rPr>
          <w:rFonts w:ascii="Times New Roman" w:hAnsi="Times New Roman" w:cs="Times New Roman"/>
          <w:sz w:val="24"/>
          <w:szCs w:val="24"/>
          <w:lang w:val="en"/>
        </w:rPr>
        <w:t xml:space="preserve"> </w:t>
      </w:r>
      <w:r w:rsidR="00826A9D" w:rsidRPr="00250E21">
        <w:rPr>
          <w:rFonts w:ascii="Times New Roman" w:hAnsi="Times New Roman" w:cs="Times New Roman"/>
          <w:sz w:val="24"/>
          <w:szCs w:val="24"/>
          <w:lang w:val="en"/>
        </w:rPr>
        <w:t xml:space="preserve">Questions regarding resources to promote attendance may be directed to </w:t>
      </w:r>
      <w:r w:rsidRPr="00250E21">
        <w:rPr>
          <w:rFonts w:ascii="Times New Roman" w:hAnsi="Times New Roman" w:cs="Times New Roman"/>
          <w:sz w:val="24"/>
          <w:szCs w:val="24"/>
          <w:lang w:val="en"/>
        </w:rPr>
        <w:t>Michael Gregory, School Social Work Specialist, by telephone at (804) 225-4543, or by email</w:t>
      </w:r>
      <w:r w:rsidR="00ED057C">
        <w:rPr>
          <w:rFonts w:ascii="Times New Roman" w:hAnsi="Times New Roman" w:cs="Times New Roman"/>
          <w:sz w:val="24"/>
          <w:szCs w:val="24"/>
          <w:lang w:val="en"/>
        </w:rPr>
        <w:t>,</w:t>
      </w:r>
      <w:r w:rsidRPr="00250E21">
        <w:rPr>
          <w:rFonts w:ascii="Times New Roman" w:hAnsi="Times New Roman" w:cs="Times New Roman"/>
          <w:sz w:val="24"/>
          <w:szCs w:val="24"/>
          <w:lang w:val="en"/>
        </w:rPr>
        <w:t xml:space="preserve"> at </w:t>
      </w:r>
      <w:r w:rsidRPr="00250E21">
        <w:rPr>
          <w:rFonts w:ascii="Times New Roman" w:hAnsi="Times New Roman" w:cs="Times New Roman"/>
          <w:color w:val="0000FF"/>
          <w:sz w:val="24"/>
          <w:szCs w:val="24"/>
          <w:u w:val="single"/>
          <w:lang w:val="en"/>
        </w:rPr>
        <w:t>Michael.Gregory@doe.virginia.gov</w:t>
      </w:r>
      <w:r w:rsidRPr="00250E21">
        <w:rPr>
          <w:rFonts w:ascii="Times New Roman" w:hAnsi="Times New Roman" w:cs="Times New Roman"/>
          <w:sz w:val="24"/>
          <w:szCs w:val="24"/>
          <w:lang w:val="en"/>
        </w:rPr>
        <w:t>.</w:t>
      </w:r>
    </w:p>
    <w:p w:rsidR="00826A9D" w:rsidRDefault="00826A9D" w:rsidP="000D72C6">
      <w:pPr>
        <w:spacing w:after="0" w:line="240" w:lineRule="auto"/>
        <w:rPr>
          <w:rStyle w:val="PlaceholderText"/>
          <w:color w:val="auto"/>
          <w:szCs w:val="24"/>
        </w:rPr>
      </w:pPr>
    </w:p>
    <w:p w:rsidR="008C4A46" w:rsidRPr="002F2AF8" w:rsidRDefault="005E064F" w:rsidP="000D72C6">
      <w:pPr>
        <w:spacing w:after="0" w:line="240" w:lineRule="auto"/>
        <w:rPr>
          <w:color w:val="000000"/>
          <w:szCs w:val="24"/>
        </w:rPr>
      </w:pPr>
      <w:r w:rsidRPr="002F2AF8">
        <w:rPr>
          <w:rStyle w:val="PlaceholderText"/>
          <w:color w:val="auto"/>
          <w:szCs w:val="24"/>
        </w:rPr>
        <w:t>JFL/</w:t>
      </w:r>
      <w:r w:rsidR="007823B7">
        <w:rPr>
          <w:rStyle w:val="PlaceholderText"/>
          <w:color w:val="auto"/>
          <w:szCs w:val="24"/>
        </w:rPr>
        <w:t>MG/rge</w:t>
      </w:r>
    </w:p>
    <w:sectPr w:rsidR="008C4A46" w:rsidRPr="002F2AF8" w:rsidSect="0043284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2C" w:rsidRDefault="008C542C" w:rsidP="00B25322">
      <w:pPr>
        <w:spacing w:after="0" w:line="240" w:lineRule="auto"/>
      </w:pPr>
      <w:r>
        <w:separator/>
      </w:r>
    </w:p>
  </w:endnote>
  <w:endnote w:type="continuationSeparator" w:id="0">
    <w:p w:rsidR="008C542C" w:rsidRDefault="008C542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2C" w:rsidRDefault="008C542C" w:rsidP="00B25322">
      <w:pPr>
        <w:spacing w:after="0" w:line="240" w:lineRule="auto"/>
      </w:pPr>
      <w:r>
        <w:separator/>
      </w:r>
    </w:p>
  </w:footnote>
  <w:footnote w:type="continuationSeparator" w:id="0">
    <w:p w:rsidR="008C542C" w:rsidRDefault="008C542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860"/>
    <w:multiLevelType w:val="hybridMultilevel"/>
    <w:tmpl w:val="46F2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19F3"/>
    <w:rsid w:val="000D72C6"/>
    <w:rsid w:val="000E2D83"/>
    <w:rsid w:val="00113054"/>
    <w:rsid w:val="00167950"/>
    <w:rsid w:val="001C169A"/>
    <w:rsid w:val="001F5D58"/>
    <w:rsid w:val="00223595"/>
    <w:rsid w:val="00227B1E"/>
    <w:rsid w:val="00250E21"/>
    <w:rsid w:val="00253155"/>
    <w:rsid w:val="0027145D"/>
    <w:rsid w:val="002809E7"/>
    <w:rsid w:val="002A6350"/>
    <w:rsid w:val="002F2AF8"/>
    <w:rsid w:val="002F2DAF"/>
    <w:rsid w:val="00305911"/>
    <w:rsid w:val="0031177E"/>
    <w:rsid w:val="003238EA"/>
    <w:rsid w:val="00392DA2"/>
    <w:rsid w:val="00406FF4"/>
    <w:rsid w:val="00414707"/>
    <w:rsid w:val="00432844"/>
    <w:rsid w:val="004F6547"/>
    <w:rsid w:val="005840A5"/>
    <w:rsid w:val="005D68B2"/>
    <w:rsid w:val="005E064F"/>
    <w:rsid w:val="005E06EF"/>
    <w:rsid w:val="00625A9B"/>
    <w:rsid w:val="00653DCC"/>
    <w:rsid w:val="006F488F"/>
    <w:rsid w:val="00726AE8"/>
    <w:rsid w:val="0073236D"/>
    <w:rsid w:val="00741130"/>
    <w:rsid w:val="00756255"/>
    <w:rsid w:val="007823B7"/>
    <w:rsid w:val="00793593"/>
    <w:rsid w:val="007A73B4"/>
    <w:rsid w:val="007C041F"/>
    <w:rsid w:val="007C0B3F"/>
    <w:rsid w:val="007C3E67"/>
    <w:rsid w:val="00826A9D"/>
    <w:rsid w:val="00851C0B"/>
    <w:rsid w:val="008631A7"/>
    <w:rsid w:val="00897C77"/>
    <w:rsid w:val="008B5BB4"/>
    <w:rsid w:val="008C4A46"/>
    <w:rsid w:val="008C542C"/>
    <w:rsid w:val="00941C4D"/>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D2704"/>
    <w:rsid w:val="00BE00E6"/>
    <w:rsid w:val="00C23584"/>
    <w:rsid w:val="00C25FA1"/>
    <w:rsid w:val="00C43A63"/>
    <w:rsid w:val="00CA13C3"/>
    <w:rsid w:val="00CA70A4"/>
    <w:rsid w:val="00CF0233"/>
    <w:rsid w:val="00CF3D23"/>
    <w:rsid w:val="00D02865"/>
    <w:rsid w:val="00D534B4"/>
    <w:rsid w:val="00D55B56"/>
    <w:rsid w:val="00D95780"/>
    <w:rsid w:val="00DA0871"/>
    <w:rsid w:val="00DA14B1"/>
    <w:rsid w:val="00DB3B16"/>
    <w:rsid w:val="00DD368F"/>
    <w:rsid w:val="00DE36A1"/>
    <w:rsid w:val="00E12E2F"/>
    <w:rsid w:val="00E4085F"/>
    <w:rsid w:val="00E75FCE"/>
    <w:rsid w:val="00E760E6"/>
    <w:rsid w:val="00ED057C"/>
    <w:rsid w:val="00ED79E7"/>
    <w:rsid w:val="00EF3C25"/>
    <w:rsid w:val="00F41943"/>
    <w:rsid w:val="00F81813"/>
    <w:rsid w:val="00FB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782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support/prevention/attendance-truancy/attendance-truancy-va-student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about/inits/ed/chronicabsenteeism/toolki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tendanceworks.org/" TargetMode="External"/><Relationship Id="rId5" Type="http://schemas.openxmlformats.org/officeDocument/2006/relationships/webSettings" Target="webSettings.xml"/><Relationship Id="rId15" Type="http://schemas.openxmlformats.org/officeDocument/2006/relationships/hyperlink" Target="http://www.attendanceworks.org/" TargetMode="External"/><Relationship Id="rId10" Type="http://schemas.openxmlformats.org/officeDocument/2006/relationships/hyperlink" Target="http://awareness.attendanceworks.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awareness.attendanceworks.org/resources/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E716-AF12-4789-B9C6-F352E701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September is Attendance Awareness Month</vt:lpstr>
    </vt:vector>
  </TitlesOfParts>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is Attendance Awareness Month</dc:title>
  <dc:creator/>
  <cp:lastModifiedBy/>
  <cp:revision>1</cp:revision>
  <dcterms:created xsi:type="dcterms:W3CDTF">2019-08-28T00:22:00Z</dcterms:created>
  <dcterms:modified xsi:type="dcterms:W3CDTF">2019-08-28T00:22:00Z</dcterms:modified>
</cp:coreProperties>
</file>