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167950" w:rsidP="00167950">
      <w:pPr>
        <w:pStyle w:val="Heading1"/>
        <w:tabs>
          <w:tab w:val="left" w:pos="1440"/>
        </w:tabs>
      </w:pPr>
      <w:r>
        <w:t>Superintendent’s Memo #</w:t>
      </w:r>
      <w:bookmarkStart w:id="0" w:name="_GoBack"/>
      <w:r w:rsidR="00DF4E28">
        <w:t>135</w:t>
      </w:r>
      <w:r w:rsidR="00DA455B">
        <w:t>-19</w:t>
      </w:r>
      <w:bookmarkEnd w:id="0"/>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2D55C3" w:rsidRDefault="00167950" w:rsidP="00167950">
      <w:pPr>
        <w:rPr>
          <w:szCs w:val="24"/>
        </w:rPr>
      </w:pPr>
      <w:r w:rsidRPr="002D55C3">
        <w:rPr>
          <w:szCs w:val="24"/>
        </w:rPr>
        <w:t xml:space="preserve">DATE: </w:t>
      </w:r>
      <w:r w:rsidR="00AE73D6">
        <w:rPr>
          <w:szCs w:val="24"/>
        </w:rPr>
        <w:tab/>
      </w:r>
      <w:r w:rsidR="008C66BB">
        <w:rPr>
          <w:szCs w:val="24"/>
        </w:rPr>
        <w:t>June 7</w:t>
      </w:r>
      <w:r w:rsidR="00DA455B">
        <w:rPr>
          <w:szCs w:val="24"/>
        </w:rPr>
        <w:t>, 2019</w:t>
      </w:r>
    </w:p>
    <w:p w:rsidR="00167950" w:rsidRPr="002D55C3" w:rsidRDefault="00167950" w:rsidP="00167950">
      <w:pPr>
        <w:rPr>
          <w:szCs w:val="24"/>
        </w:rPr>
      </w:pPr>
      <w:r w:rsidRPr="002D55C3">
        <w:rPr>
          <w:szCs w:val="24"/>
        </w:rPr>
        <w:t xml:space="preserve">TO: </w:t>
      </w:r>
      <w:r w:rsidR="00AE73D6">
        <w:rPr>
          <w:szCs w:val="24"/>
        </w:rPr>
        <w:tab/>
      </w:r>
      <w:r w:rsidR="00AE73D6">
        <w:rPr>
          <w:szCs w:val="24"/>
        </w:rPr>
        <w:tab/>
      </w:r>
      <w:r w:rsidRPr="002D55C3">
        <w:rPr>
          <w:szCs w:val="24"/>
        </w:rPr>
        <w:t>Division Superintendents</w:t>
      </w:r>
    </w:p>
    <w:p w:rsidR="00167950" w:rsidRPr="002D55C3" w:rsidRDefault="00167950" w:rsidP="00167950">
      <w:pPr>
        <w:rPr>
          <w:szCs w:val="24"/>
        </w:rPr>
      </w:pPr>
      <w:r w:rsidRPr="002D55C3">
        <w:rPr>
          <w:szCs w:val="24"/>
        </w:rPr>
        <w:t xml:space="preserve">FROM: </w:t>
      </w:r>
      <w:r w:rsidR="00AE73D6">
        <w:rPr>
          <w:szCs w:val="24"/>
        </w:rPr>
        <w:tab/>
      </w:r>
      <w:r w:rsidR="00AE73D6" w:rsidRPr="00AE73D6">
        <w:rPr>
          <w:szCs w:val="24"/>
        </w:rPr>
        <w:t>James F. Lane, Ed.D., Superintendent of Public Instruction</w:t>
      </w:r>
    </w:p>
    <w:p w:rsidR="00167950" w:rsidRPr="002D55C3" w:rsidRDefault="00167950" w:rsidP="00AE73D6">
      <w:pPr>
        <w:pStyle w:val="Heading2"/>
        <w:ind w:left="1440" w:hanging="1440"/>
        <w:rPr>
          <w:szCs w:val="24"/>
        </w:rPr>
      </w:pPr>
      <w:r w:rsidRPr="002D55C3">
        <w:rPr>
          <w:szCs w:val="24"/>
        </w:rPr>
        <w:t xml:space="preserve">SUBJECT: </w:t>
      </w:r>
      <w:r w:rsidR="00AE73D6">
        <w:rPr>
          <w:szCs w:val="24"/>
        </w:rPr>
        <w:tab/>
      </w:r>
      <w:r w:rsidR="008C66BB">
        <w:t>Proposed</w:t>
      </w:r>
      <w:r w:rsidR="00520EC8">
        <w:t xml:space="preserve"> Amendment to </w:t>
      </w:r>
      <w:r w:rsidR="00D85B51" w:rsidRPr="00D85B51">
        <w:t xml:space="preserve">Virginia’s </w:t>
      </w:r>
      <w:r w:rsidR="00D85B51" w:rsidRPr="00520EC8">
        <w:rPr>
          <w:i/>
        </w:rPr>
        <w:t>Every Studen</w:t>
      </w:r>
      <w:r w:rsidR="00520EC8" w:rsidRPr="00520EC8">
        <w:rPr>
          <w:i/>
        </w:rPr>
        <w:t xml:space="preserve">t Succeeds Act of 2015 </w:t>
      </w:r>
      <w:r w:rsidR="00520EC8">
        <w:t>(ESSA) State Plan</w:t>
      </w:r>
      <w:r w:rsidR="008C66BB">
        <w:t xml:space="preserve"> – Additional Change</w:t>
      </w:r>
    </w:p>
    <w:p w:rsidR="008D650A" w:rsidRDefault="00432447" w:rsidP="008D650A">
      <w:pPr>
        <w:spacing w:after="0"/>
      </w:pPr>
      <w:hyperlink r:id="rId10" w:history="1">
        <w:r w:rsidR="008C66BB" w:rsidRPr="008C66BB">
          <w:rPr>
            <w:rStyle w:val="Hyperlink"/>
          </w:rPr>
          <w:t>Superintendent’s Memo #127-19</w:t>
        </w:r>
      </w:hyperlink>
      <w:r w:rsidR="008C66BB">
        <w:t xml:space="preserve"> announced the opportunity to comment on </w:t>
      </w:r>
      <w:r w:rsidR="00CF46DC">
        <w:t xml:space="preserve">an amendment to </w:t>
      </w:r>
      <w:r w:rsidR="008C66BB">
        <w:t>Virginia’s</w:t>
      </w:r>
      <w:r w:rsidR="00520EC8">
        <w:t xml:space="preserve"> </w:t>
      </w:r>
      <w:hyperlink r:id="rId11" w:history="1">
        <w:r w:rsidR="00520EC8" w:rsidRPr="00CF46DC">
          <w:rPr>
            <w:rStyle w:val="Hyperlink"/>
          </w:rPr>
          <w:t>ESSA State Plan</w:t>
        </w:r>
      </w:hyperlink>
      <w:r w:rsidR="00536061">
        <w:t xml:space="preserve">. </w:t>
      </w:r>
      <w:r w:rsidR="008C66BB">
        <w:t xml:space="preserve">In addition to the proposed changes described in the memo, the change below is proposed. </w:t>
      </w:r>
    </w:p>
    <w:p w:rsidR="00281814" w:rsidRDefault="00281814" w:rsidP="00DA455B">
      <w:pPr>
        <w:contextualSpacing/>
      </w:pPr>
    </w:p>
    <w:p w:rsidR="008C66BB" w:rsidRDefault="008C66BB" w:rsidP="008C66BB">
      <w:pPr>
        <w:contextualSpacing/>
        <w:rPr>
          <w:u w:val="single"/>
        </w:rPr>
      </w:pPr>
      <w:r w:rsidRPr="005D75BF">
        <w:rPr>
          <w:u w:val="single"/>
        </w:rPr>
        <w:t>Chronic Absenteeism Targets</w:t>
      </w:r>
    </w:p>
    <w:p w:rsidR="008C66BB" w:rsidRDefault="008C66BB" w:rsidP="008C66BB">
      <w:pPr>
        <w:contextualSpacing/>
      </w:pPr>
      <w:r>
        <w:t>The chronic absenteeism targets</w:t>
      </w:r>
      <w:r w:rsidR="00741135">
        <w:t xml:space="preserve"> in the current ESSA State Plan</w:t>
      </w:r>
      <w:r>
        <w:t xml:space="preserve"> were calculated using the average rate of chronic absenteeism in each student group as the baseline and ten percent or less of students chronically absent as the long term goal. The amendment proposes to use the chronic absenteeism rate of the school at the 20</w:t>
      </w:r>
      <w:r w:rsidRPr="005D75BF">
        <w:rPr>
          <w:vertAlign w:val="superscript"/>
        </w:rPr>
        <w:t>th</w:t>
      </w:r>
      <w:r>
        <w:t xml:space="preserve"> percentile of enrollment as the baseline and to update the baseline data by using the 2017-2018 sc</w:t>
      </w:r>
      <w:r w:rsidR="00DF4E28">
        <w:t>hool year as the baseline year.</w:t>
      </w:r>
      <w:r>
        <w:t xml:space="preserve"> This methodology is aligned with the methodology used to determine the other federal targets. The proposed targets are provided in the table below. </w:t>
      </w:r>
    </w:p>
    <w:p w:rsidR="008C66BB" w:rsidRDefault="008C66BB" w:rsidP="008C66BB">
      <w:pPr>
        <w:contextualSpacing/>
      </w:pPr>
    </w:p>
    <w:tbl>
      <w:tblPr>
        <w:tblStyle w:val="TableGrid"/>
        <w:tblW w:w="10080" w:type="dxa"/>
        <w:tblInd w:w="-342" w:type="dxa"/>
        <w:tblLook w:val="04A0" w:firstRow="1" w:lastRow="0" w:firstColumn="1" w:lastColumn="0" w:noHBand="0" w:noVBand="1"/>
        <w:tblCaption w:val="Proposed Chronic Absenteeism Targets"/>
        <w:tblDescription w:val="This table provides the proposed chronic absenteeism targets. The targets begin in accountability year 2019-2020 and end with a long term goal of 10 percent or fewer students chronically absent in accountability year 2024-2025."/>
      </w:tblPr>
      <w:tblGrid>
        <w:gridCol w:w="2080"/>
        <w:gridCol w:w="1157"/>
        <w:gridCol w:w="1129"/>
        <w:gridCol w:w="1129"/>
        <w:gridCol w:w="1129"/>
        <w:gridCol w:w="1129"/>
        <w:gridCol w:w="1129"/>
        <w:gridCol w:w="1198"/>
      </w:tblGrid>
      <w:tr w:rsidR="008C66BB" w:rsidTr="008C66BB">
        <w:trPr>
          <w:tblHeader/>
        </w:trPr>
        <w:tc>
          <w:tcPr>
            <w:tcW w:w="2080" w:type="dxa"/>
          </w:tcPr>
          <w:p w:rsidR="008C66BB" w:rsidRDefault="008C66BB" w:rsidP="0048454D">
            <w:pPr>
              <w:contextualSpacing/>
            </w:pPr>
          </w:p>
        </w:tc>
        <w:tc>
          <w:tcPr>
            <w:tcW w:w="1157" w:type="dxa"/>
          </w:tcPr>
          <w:p w:rsidR="008C66BB" w:rsidRPr="00FB1DB6" w:rsidRDefault="008C66BB" w:rsidP="0048454D">
            <w:pPr>
              <w:contextualSpacing/>
              <w:jc w:val="center"/>
              <w:rPr>
                <w:b/>
              </w:rPr>
            </w:pPr>
            <w:r w:rsidRPr="00FB1DB6">
              <w:rPr>
                <w:b/>
              </w:rPr>
              <w:t>Baseline</w:t>
            </w:r>
          </w:p>
        </w:tc>
        <w:tc>
          <w:tcPr>
            <w:tcW w:w="1129" w:type="dxa"/>
          </w:tcPr>
          <w:p w:rsidR="008C66BB" w:rsidRPr="00FB1DB6" w:rsidRDefault="008C66BB" w:rsidP="0048454D">
            <w:pPr>
              <w:contextualSpacing/>
              <w:jc w:val="center"/>
              <w:rPr>
                <w:b/>
              </w:rPr>
            </w:pPr>
            <w:r w:rsidRPr="00FB1DB6">
              <w:rPr>
                <w:b/>
              </w:rPr>
              <w:t>Year 2 Targets</w:t>
            </w:r>
          </w:p>
        </w:tc>
        <w:tc>
          <w:tcPr>
            <w:tcW w:w="1129" w:type="dxa"/>
          </w:tcPr>
          <w:p w:rsidR="008C66BB" w:rsidRPr="00FB1DB6" w:rsidRDefault="008C66BB" w:rsidP="0048454D">
            <w:pPr>
              <w:contextualSpacing/>
              <w:jc w:val="center"/>
              <w:rPr>
                <w:b/>
              </w:rPr>
            </w:pPr>
            <w:r w:rsidRPr="00FB1DB6">
              <w:rPr>
                <w:b/>
              </w:rPr>
              <w:t>Year 3 Targets</w:t>
            </w:r>
          </w:p>
        </w:tc>
        <w:tc>
          <w:tcPr>
            <w:tcW w:w="1129" w:type="dxa"/>
          </w:tcPr>
          <w:p w:rsidR="008C66BB" w:rsidRPr="00FB1DB6" w:rsidRDefault="008C66BB" w:rsidP="0048454D">
            <w:pPr>
              <w:contextualSpacing/>
              <w:jc w:val="center"/>
              <w:rPr>
                <w:b/>
              </w:rPr>
            </w:pPr>
            <w:r w:rsidRPr="00FB1DB6">
              <w:rPr>
                <w:b/>
              </w:rPr>
              <w:t>Year 4 Targets</w:t>
            </w:r>
          </w:p>
        </w:tc>
        <w:tc>
          <w:tcPr>
            <w:tcW w:w="1129" w:type="dxa"/>
          </w:tcPr>
          <w:p w:rsidR="008C66BB" w:rsidRPr="00FB1DB6" w:rsidRDefault="008C66BB" w:rsidP="0048454D">
            <w:pPr>
              <w:contextualSpacing/>
              <w:jc w:val="center"/>
              <w:rPr>
                <w:b/>
              </w:rPr>
            </w:pPr>
            <w:r w:rsidRPr="00FB1DB6">
              <w:rPr>
                <w:b/>
              </w:rPr>
              <w:t>Year 5 Targets</w:t>
            </w:r>
          </w:p>
        </w:tc>
        <w:tc>
          <w:tcPr>
            <w:tcW w:w="1129" w:type="dxa"/>
          </w:tcPr>
          <w:p w:rsidR="008C66BB" w:rsidRPr="00FB1DB6" w:rsidRDefault="008C66BB" w:rsidP="0048454D">
            <w:pPr>
              <w:contextualSpacing/>
              <w:jc w:val="center"/>
              <w:rPr>
                <w:b/>
              </w:rPr>
            </w:pPr>
            <w:r w:rsidRPr="00FB1DB6">
              <w:rPr>
                <w:b/>
              </w:rPr>
              <w:t>Year 6 Targets</w:t>
            </w:r>
          </w:p>
        </w:tc>
        <w:tc>
          <w:tcPr>
            <w:tcW w:w="1198" w:type="dxa"/>
          </w:tcPr>
          <w:p w:rsidR="008C66BB" w:rsidRPr="00FB1DB6" w:rsidRDefault="008C66BB" w:rsidP="0048454D">
            <w:pPr>
              <w:contextualSpacing/>
              <w:jc w:val="center"/>
              <w:rPr>
                <w:b/>
              </w:rPr>
            </w:pPr>
            <w:r w:rsidRPr="00FB1DB6">
              <w:rPr>
                <w:b/>
              </w:rPr>
              <w:t>Long Term Goal</w:t>
            </w:r>
          </w:p>
        </w:tc>
      </w:tr>
      <w:tr w:rsidR="008C66BB" w:rsidTr="008C66BB">
        <w:tc>
          <w:tcPr>
            <w:tcW w:w="2080" w:type="dxa"/>
          </w:tcPr>
          <w:p w:rsidR="008C66BB" w:rsidRPr="00FB1DB6" w:rsidRDefault="00741135" w:rsidP="0048454D">
            <w:pPr>
              <w:contextualSpacing/>
              <w:rPr>
                <w:b/>
              </w:rPr>
            </w:pPr>
            <w:r>
              <w:rPr>
                <w:b/>
              </w:rPr>
              <w:t>Data</w:t>
            </w:r>
            <w:r w:rsidR="008C66BB" w:rsidRPr="00FB1DB6">
              <w:rPr>
                <w:b/>
              </w:rPr>
              <w:t xml:space="preserve"> Year</w:t>
            </w:r>
          </w:p>
        </w:tc>
        <w:tc>
          <w:tcPr>
            <w:tcW w:w="1157" w:type="dxa"/>
          </w:tcPr>
          <w:p w:rsidR="008C66BB" w:rsidRDefault="008C66BB" w:rsidP="0048454D">
            <w:pPr>
              <w:contextualSpacing/>
              <w:jc w:val="center"/>
            </w:pPr>
            <w:r>
              <w:t>2017-2018</w:t>
            </w:r>
          </w:p>
        </w:tc>
        <w:tc>
          <w:tcPr>
            <w:tcW w:w="1129" w:type="dxa"/>
          </w:tcPr>
          <w:p w:rsidR="008C66BB" w:rsidRDefault="008C66BB" w:rsidP="0048454D">
            <w:pPr>
              <w:contextualSpacing/>
              <w:jc w:val="center"/>
            </w:pPr>
            <w:r>
              <w:t>2018-2019</w:t>
            </w:r>
          </w:p>
        </w:tc>
        <w:tc>
          <w:tcPr>
            <w:tcW w:w="1129" w:type="dxa"/>
          </w:tcPr>
          <w:p w:rsidR="008C66BB" w:rsidRDefault="008C66BB" w:rsidP="0048454D">
            <w:pPr>
              <w:contextualSpacing/>
              <w:jc w:val="center"/>
            </w:pPr>
            <w:r>
              <w:t>2019-2020</w:t>
            </w:r>
          </w:p>
        </w:tc>
        <w:tc>
          <w:tcPr>
            <w:tcW w:w="1129" w:type="dxa"/>
          </w:tcPr>
          <w:p w:rsidR="008C66BB" w:rsidRDefault="008C66BB" w:rsidP="0048454D">
            <w:pPr>
              <w:contextualSpacing/>
              <w:jc w:val="center"/>
            </w:pPr>
            <w:r>
              <w:t>2020-2021</w:t>
            </w:r>
          </w:p>
        </w:tc>
        <w:tc>
          <w:tcPr>
            <w:tcW w:w="1129" w:type="dxa"/>
          </w:tcPr>
          <w:p w:rsidR="008C66BB" w:rsidRDefault="008C66BB" w:rsidP="0048454D">
            <w:pPr>
              <w:contextualSpacing/>
              <w:jc w:val="center"/>
            </w:pPr>
            <w:r>
              <w:t>2021-2022</w:t>
            </w:r>
          </w:p>
        </w:tc>
        <w:tc>
          <w:tcPr>
            <w:tcW w:w="1129" w:type="dxa"/>
          </w:tcPr>
          <w:p w:rsidR="008C66BB" w:rsidRDefault="008C66BB" w:rsidP="0048454D">
            <w:pPr>
              <w:contextualSpacing/>
              <w:jc w:val="center"/>
            </w:pPr>
            <w:r>
              <w:t>2022-2023</w:t>
            </w:r>
          </w:p>
        </w:tc>
        <w:tc>
          <w:tcPr>
            <w:tcW w:w="1198" w:type="dxa"/>
          </w:tcPr>
          <w:p w:rsidR="008C66BB" w:rsidRDefault="008C66BB" w:rsidP="0048454D">
            <w:pPr>
              <w:contextualSpacing/>
              <w:jc w:val="center"/>
            </w:pPr>
            <w:r>
              <w:t>2023-2024</w:t>
            </w:r>
          </w:p>
        </w:tc>
      </w:tr>
      <w:tr w:rsidR="008C66BB" w:rsidTr="008C66BB">
        <w:tc>
          <w:tcPr>
            <w:tcW w:w="2080" w:type="dxa"/>
          </w:tcPr>
          <w:p w:rsidR="008C66BB" w:rsidRPr="00FB1DB6" w:rsidRDefault="008C66BB" w:rsidP="0048454D">
            <w:pPr>
              <w:contextualSpacing/>
              <w:rPr>
                <w:b/>
              </w:rPr>
            </w:pPr>
            <w:r w:rsidRPr="00FB1DB6">
              <w:rPr>
                <w:b/>
              </w:rPr>
              <w:t>Accountability Year</w:t>
            </w:r>
          </w:p>
        </w:tc>
        <w:tc>
          <w:tcPr>
            <w:tcW w:w="1157" w:type="dxa"/>
          </w:tcPr>
          <w:p w:rsidR="008C66BB" w:rsidRDefault="008C66BB" w:rsidP="0048454D">
            <w:pPr>
              <w:contextualSpacing/>
              <w:jc w:val="center"/>
            </w:pPr>
          </w:p>
        </w:tc>
        <w:tc>
          <w:tcPr>
            <w:tcW w:w="1129" w:type="dxa"/>
          </w:tcPr>
          <w:p w:rsidR="008C66BB" w:rsidRDefault="008C66BB" w:rsidP="0048454D">
            <w:pPr>
              <w:contextualSpacing/>
              <w:jc w:val="center"/>
            </w:pPr>
            <w:r>
              <w:t>2019-2020</w:t>
            </w:r>
          </w:p>
        </w:tc>
        <w:tc>
          <w:tcPr>
            <w:tcW w:w="1129" w:type="dxa"/>
          </w:tcPr>
          <w:p w:rsidR="008C66BB" w:rsidRDefault="008C66BB" w:rsidP="0048454D">
            <w:pPr>
              <w:contextualSpacing/>
              <w:jc w:val="center"/>
            </w:pPr>
            <w:r>
              <w:t>2020-2021</w:t>
            </w:r>
          </w:p>
        </w:tc>
        <w:tc>
          <w:tcPr>
            <w:tcW w:w="1129" w:type="dxa"/>
          </w:tcPr>
          <w:p w:rsidR="008C66BB" w:rsidRDefault="008C66BB" w:rsidP="0048454D">
            <w:pPr>
              <w:contextualSpacing/>
              <w:jc w:val="center"/>
            </w:pPr>
            <w:r>
              <w:t>2021-2022</w:t>
            </w:r>
          </w:p>
        </w:tc>
        <w:tc>
          <w:tcPr>
            <w:tcW w:w="1129" w:type="dxa"/>
          </w:tcPr>
          <w:p w:rsidR="008C66BB" w:rsidRDefault="008C66BB" w:rsidP="0048454D">
            <w:pPr>
              <w:contextualSpacing/>
              <w:jc w:val="center"/>
            </w:pPr>
            <w:r>
              <w:t>2022-2023</w:t>
            </w:r>
          </w:p>
        </w:tc>
        <w:tc>
          <w:tcPr>
            <w:tcW w:w="1129" w:type="dxa"/>
          </w:tcPr>
          <w:p w:rsidR="008C66BB" w:rsidRDefault="008C66BB" w:rsidP="0048454D">
            <w:pPr>
              <w:contextualSpacing/>
              <w:jc w:val="center"/>
            </w:pPr>
            <w:r>
              <w:t>2023-2024</w:t>
            </w:r>
          </w:p>
        </w:tc>
        <w:tc>
          <w:tcPr>
            <w:tcW w:w="1198" w:type="dxa"/>
          </w:tcPr>
          <w:p w:rsidR="008C66BB" w:rsidRDefault="008C66BB" w:rsidP="0048454D">
            <w:pPr>
              <w:contextualSpacing/>
              <w:jc w:val="center"/>
            </w:pPr>
            <w:r>
              <w:t>2024-2025</w:t>
            </w:r>
          </w:p>
        </w:tc>
      </w:tr>
      <w:tr w:rsidR="008C66BB" w:rsidTr="008C66BB">
        <w:tc>
          <w:tcPr>
            <w:tcW w:w="2080" w:type="dxa"/>
          </w:tcPr>
          <w:p w:rsidR="008C66BB" w:rsidRPr="00FB1DB6" w:rsidRDefault="008C66BB" w:rsidP="0048454D">
            <w:pPr>
              <w:contextualSpacing/>
              <w:rPr>
                <w:b/>
              </w:rPr>
            </w:pPr>
            <w:r w:rsidRPr="00FB1DB6">
              <w:rPr>
                <w:b/>
              </w:rPr>
              <w:t>All Students</w:t>
            </w:r>
          </w:p>
          <w:p w:rsidR="008C66BB" w:rsidRPr="00FB1DB6" w:rsidRDefault="008C66BB" w:rsidP="0048454D">
            <w:pPr>
              <w:contextualSpacing/>
              <w:rPr>
                <w:b/>
              </w:rPr>
            </w:pPr>
          </w:p>
        </w:tc>
        <w:tc>
          <w:tcPr>
            <w:tcW w:w="1157" w:type="dxa"/>
          </w:tcPr>
          <w:p w:rsidR="008C66BB" w:rsidRDefault="008C66BB" w:rsidP="0048454D">
            <w:pPr>
              <w:contextualSpacing/>
              <w:jc w:val="center"/>
            </w:pPr>
            <w:r>
              <w:t>15</w:t>
            </w:r>
          </w:p>
        </w:tc>
        <w:tc>
          <w:tcPr>
            <w:tcW w:w="1129" w:type="dxa"/>
          </w:tcPr>
          <w:p w:rsidR="008C66BB" w:rsidRDefault="008C66BB" w:rsidP="0048454D">
            <w:pPr>
              <w:contextualSpacing/>
              <w:jc w:val="center"/>
            </w:pPr>
            <w:r>
              <w:t>14</w:t>
            </w:r>
          </w:p>
        </w:tc>
        <w:tc>
          <w:tcPr>
            <w:tcW w:w="1129" w:type="dxa"/>
          </w:tcPr>
          <w:p w:rsidR="008C66BB" w:rsidRDefault="008C66BB" w:rsidP="0048454D">
            <w:pPr>
              <w:contextualSpacing/>
              <w:jc w:val="center"/>
            </w:pPr>
            <w:r>
              <w:t>13</w:t>
            </w:r>
          </w:p>
        </w:tc>
        <w:tc>
          <w:tcPr>
            <w:tcW w:w="1129" w:type="dxa"/>
          </w:tcPr>
          <w:p w:rsidR="008C66BB" w:rsidRDefault="008C66BB" w:rsidP="0048454D">
            <w:pPr>
              <w:contextualSpacing/>
              <w:jc w:val="center"/>
            </w:pPr>
            <w:r>
              <w:t>12</w:t>
            </w:r>
          </w:p>
        </w:tc>
        <w:tc>
          <w:tcPr>
            <w:tcW w:w="1129" w:type="dxa"/>
          </w:tcPr>
          <w:p w:rsidR="008C66BB" w:rsidRDefault="008C66BB" w:rsidP="0048454D">
            <w:pPr>
              <w:contextualSpacing/>
              <w:jc w:val="center"/>
            </w:pPr>
            <w:r>
              <w:t>12</w:t>
            </w:r>
          </w:p>
        </w:tc>
        <w:tc>
          <w:tcPr>
            <w:tcW w:w="1129" w:type="dxa"/>
          </w:tcPr>
          <w:p w:rsidR="008C66BB" w:rsidRDefault="008C66BB" w:rsidP="0048454D">
            <w:pPr>
              <w:contextualSpacing/>
              <w:jc w:val="center"/>
            </w:pPr>
            <w:r>
              <w:t>11</w:t>
            </w:r>
          </w:p>
        </w:tc>
        <w:tc>
          <w:tcPr>
            <w:tcW w:w="1198" w:type="dxa"/>
          </w:tcPr>
          <w:p w:rsidR="008C66BB" w:rsidRDefault="008C66BB" w:rsidP="0048454D">
            <w:pPr>
              <w:contextualSpacing/>
              <w:jc w:val="center"/>
            </w:pPr>
            <w:r>
              <w:t>10</w:t>
            </w:r>
          </w:p>
        </w:tc>
      </w:tr>
      <w:tr w:rsidR="008C66BB" w:rsidTr="008C66BB">
        <w:tc>
          <w:tcPr>
            <w:tcW w:w="2080" w:type="dxa"/>
          </w:tcPr>
          <w:p w:rsidR="008C66BB" w:rsidRDefault="008C66BB" w:rsidP="0048454D">
            <w:pPr>
              <w:contextualSpacing/>
              <w:rPr>
                <w:b/>
              </w:rPr>
            </w:pPr>
            <w:r w:rsidRPr="00FB1DB6">
              <w:rPr>
                <w:b/>
              </w:rPr>
              <w:t>Asian Students</w:t>
            </w:r>
          </w:p>
          <w:p w:rsidR="008C66BB" w:rsidRPr="00FB1DB6" w:rsidRDefault="008C66BB" w:rsidP="0048454D">
            <w:pPr>
              <w:contextualSpacing/>
              <w:rPr>
                <w:b/>
              </w:rPr>
            </w:pPr>
          </w:p>
        </w:tc>
        <w:tc>
          <w:tcPr>
            <w:tcW w:w="1157" w:type="dxa"/>
          </w:tcPr>
          <w:p w:rsidR="008C66BB" w:rsidRDefault="008C66BB" w:rsidP="0048454D">
            <w:pPr>
              <w:contextualSpacing/>
              <w:jc w:val="center"/>
            </w:pPr>
            <w:r>
              <w:t>10</w:t>
            </w:r>
          </w:p>
        </w:tc>
        <w:tc>
          <w:tcPr>
            <w:tcW w:w="1129" w:type="dxa"/>
          </w:tcPr>
          <w:p w:rsidR="008C66BB" w:rsidRDefault="008C66BB" w:rsidP="0048454D">
            <w:pPr>
              <w:contextualSpacing/>
              <w:jc w:val="center"/>
            </w:pPr>
            <w:r>
              <w:t>10</w:t>
            </w:r>
          </w:p>
        </w:tc>
        <w:tc>
          <w:tcPr>
            <w:tcW w:w="1129" w:type="dxa"/>
          </w:tcPr>
          <w:p w:rsidR="008C66BB" w:rsidRDefault="008C66BB" w:rsidP="0048454D">
            <w:pPr>
              <w:contextualSpacing/>
              <w:jc w:val="center"/>
            </w:pPr>
            <w:r>
              <w:t>10</w:t>
            </w:r>
          </w:p>
        </w:tc>
        <w:tc>
          <w:tcPr>
            <w:tcW w:w="1129" w:type="dxa"/>
          </w:tcPr>
          <w:p w:rsidR="008C66BB" w:rsidRDefault="008C66BB" w:rsidP="0048454D">
            <w:pPr>
              <w:contextualSpacing/>
              <w:jc w:val="center"/>
            </w:pPr>
            <w:r>
              <w:t>10</w:t>
            </w:r>
          </w:p>
        </w:tc>
        <w:tc>
          <w:tcPr>
            <w:tcW w:w="1129" w:type="dxa"/>
          </w:tcPr>
          <w:p w:rsidR="008C66BB" w:rsidRDefault="008C66BB" w:rsidP="0048454D">
            <w:pPr>
              <w:contextualSpacing/>
              <w:jc w:val="center"/>
            </w:pPr>
            <w:r>
              <w:t>10</w:t>
            </w:r>
          </w:p>
        </w:tc>
        <w:tc>
          <w:tcPr>
            <w:tcW w:w="1129" w:type="dxa"/>
          </w:tcPr>
          <w:p w:rsidR="008C66BB" w:rsidRDefault="008C66BB" w:rsidP="0048454D">
            <w:pPr>
              <w:contextualSpacing/>
              <w:jc w:val="center"/>
            </w:pPr>
            <w:r>
              <w:t>10</w:t>
            </w:r>
          </w:p>
        </w:tc>
        <w:tc>
          <w:tcPr>
            <w:tcW w:w="1198" w:type="dxa"/>
          </w:tcPr>
          <w:p w:rsidR="008C66BB" w:rsidRDefault="008C66BB" w:rsidP="0048454D">
            <w:pPr>
              <w:contextualSpacing/>
              <w:jc w:val="center"/>
            </w:pPr>
            <w:r>
              <w:t>10</w:t>
            </w:r>
          </w:p>
        </w:tc>
      </w:tr>
      <w:tr w:rsidR="008C66BB" w:rsidTr="008C66BB">
        <w:tc>
          <w:tcPr>
            <w:tcW w:w="2080" w:type="dxa"/>
          </w:tcPr>
          <w:p w:rsidR="008C66BB" w:rsidRDefault="008C66BB" w:rsidP="0048454D">
            <w:pPr>
              <w:contextualSpacing/>
              <w:rPr>
                <w:b/>
              </w:rPr>
            </w:pPr>
            <w:r w:rsidRPr="00FB1DB6">
              <w:rPr>
                <w:b/>
              </w:rPr>
              <w:t>Black Students</w:t>
            </w:r>
          </w:p>
          <w:p w:rsidR="008C66BB" w:rsidRPr="00FB1DB6" w:rsidRDefault="008C66BB" w:rsidP="0048454D">
            <w:pPr>
              <w:contextualSpacing/>
              <w:rPr>
                <w:b/>
              </w:rPr>
            </w:pPr>
          </w:p>
        </w:tc>
        <w:tc>
          <w:tcPr>
            <w:tcW w:w="1157" w:type="dxa"/>
          </w:tcPr>
          <w:p w:rsidR="008C66BB" w:rsidRDefault="008C66BB" w:rsidP="0048454D">
            <w:pPr>
              <w:contextualSpacing/>
              <w:jc w:val="center"/>
            </w:pPr>
            <w:r>
              <w:t>16</w:t>
            </w:r>
          </w:p>
        </w:tc>
        <w:tc>
          <w:tcPr>
            <w:tcW w:w="1129" w:type="dxa"/>
          </w:tcPr>
          <w:p w:rsidR="008C66BB" w:rsidRDefault="008C66BB" w:rsidP="0048454D">
            <w:pPr>
              <w:contextualSpacing/>
              <w:jc w:val="center"/>
            </w:pPr>
            <w:r>
              <w:t>15</w:t>
            </w:r>
          </w:p>
        </w:tc>
        <w:tc>
          <w:tcPr>
            <w:tcW w:w="1129" w:type="dxa"/>
          </w:tcPr>
          <w:p w:rsidR="008C66BB" w:rsidRDefault="008C66BB" w:rsidP="0048454D">
            <w:pPr>
              <w:contextualSpacing/>
              <w:jc w:val="center"/>
            </w:pPr>
            <w:r>
              <w:t>14</w:t>
            </w:r>
          </w:p>
        </w:tc>
        <w:tc>
          <w:tcPr>
            <w:tcW w:w="1129" w:type="dxa"/>
          </w:tcPr>
          <w:p w:rsidR="008C66BB" w:rsidRDefault="008C66BB" w:rsidP="0048454D">
            <w:pPr>
              <w:contextualSpacing/>
              <w:jc w:val="center"/>
            </w:pPr>
            <w:r>
              <w:t>13</w:t>
            </w:r>
          </w:p>
        </w:tc>
        <w:tc>
          <w:tcPr>
            <w:tcW w:w="1129" w:type="dxa"/>
          </w:tcPr>
          <w:p w:rsidR="008C66BB" w:rsidRDefault="008C66BB" w:rsidP="0048454D">
            <w:pPr>
              <w:contextualSpacing/>
              <w:jc w:val="center"/>
            </w:pPr>
            <w:r>
              <w:t>12</w:t>
            </w:r>
          </w:p>
        </w:tc>
        <w:tc>
          <w:tcPr>
            <w:tcW w:w="1129" w:type="dxa"/>
          </w:tcPr>
          <w:p w:rsidR="008C66BB" w:rsidRDefault="008C66BB" w:rsidP="0048454D">
            <w:pPr>
              <w:contextualSpacing/>
              <w:jc w:val="center"/>
            </w:pPr>
            <w:r>
              <w:t>11</w:t>
            </w:r>
          </w:p>
        </w:tc>
        <w:tc>
          <w:tcPr>
            <w:tcW w:w="1198" w:type="dxa"/>
          </w:tcPr>
          <w:p w:rsidR="008C66BB" w:rsidRDefault="008C66BB" w:rsidP="0048454D">
            <w:pPr>
              <w:contextualSpacing/>
              <w:jc w:val="center"/>
            </w:pPr>
            <w:r>
              <w:t>10</w:t>
            </w:r>
          </w:p>
        </w:tc>
      </w:tr>
      <w:tr w:rsidR="008C66BB" w:rsidTr="008C66BB">
        <w:tc>
          <w:tcPr>
            <w:tcW w:w="2080" w:type="dxa"/>
          </w:tcPr>
          <w:p w:rsidR="008C66BB" w:rsidRPr="00FB1DB6" w:rsidRDefault="008C66BB" w:rsidP="0048454D">
            <w:pPr>
              <w:contextualSpacing/>
              <w:rPr>
                <w:b/>
              </w:rPr>
            </w:pPr>
            <w:r w:rsidRPr="00FB1DB6">
              <w:rPr>
                <w:b/>
              </w:rPr>
              <w:lastRenderedPageBreak/>
              <w:t>Economically Disadvantaged Students</w:t>
            </w:r>
          </w:p>
        </w:tc>
        <w:tc>
          <w:tcPr>
            <w:tcW w:w="1157" w:type="dxa"/>
          </w:tcPr>
          <w:p w:rsidR="008C66BB" w:rsidRDefault="008C66BB" w:rsidP="0048454D">
            <w:pPr>
              <w:contextualSpacing/>
              <w:jc w:val="center"/>
            </w:pPr>
            <w:r>
              <w:t>21</w:t>
            </w:r>
          </w:p>
        </w:tc>
        <w:tc>
          <w:tcPr>
            <w:tcW w:w="1129" w:type="dxa"/>
          </w:tcPr>
          <w:p w:rsidR="008C66BB" w:rsidRDefault="008C66BB" w:rsidP="0048454D">
            <w:pPr>
              <w:contextualSpacing/>
              <w:jc w:val="center"/>
            </w:pPr>
            <w:r>
              <w:t>19</w:t>
            </w:r>
          </w:p>
        </w:tc>
        <w:tc>
          <w:tcPr>
            <w:tcW w:w="1129" w:type="dxa"/>
          </w:tcPr>
          <w:p w:rsidR="008C66BB" w:rsidRDefault="008C66BB" w:rsidP="0048454D">
            <w:pPr>
              <w:contextualSpacing/>
              <w:jc w:val="center"/>
            </w:pPr>
            <w:r>
              <w:t>17</w:t>
            </w:r>
          </w:p>
        </w:tc>
        <w:tc>
          <w:tcPr>
            <w:tcW w:w="1129" w:type="dxa"/>
          </w:tcPr>
          <w:p w:rsidR="008C66BB" w:rsidRDefault="008C66BB" w:rsidP="0048454D">
            <w:pPr>
              <w:contextualSpacing/>
              <w:jc w:val="center"/>
            </w:pPr>
            <w:r>
              <w:t>15</w:t>
            </w:r>
          </w:p>
        </w:tc>
        <w:tc>
          <w:tcPr>
            <w:tcW w:w="1129" w:type="dxa"/>
          </w:tcPr>
          <w:p w:rsidR="008C66BB" w:rsidRDefault="008C66BB" w:rsidP="0048454D">
            <w:pPr>
              <w:contextualSpacing/>
              <w:jc w:val="center"/>
            </w:pPr>
            <w:r>
              <w:t>13</w:t>
            </w:r>
          </w:p>
        </w:tc>
        <w:tc>
          <w:tcPr>
            <w:tcW w:w="1129" w:type="dxa"/>
          </w:tcPr>
          <w:p w:rsidR="008C66BB" w:rsidRDefault="008C66BB" w:rsidP="0048454D">
            <w:pPr>
              <w:contextualSpacing/>
              <w:jc w:val="center"/>
            </w:pPr>
            <w:r>
              <w:t>11</w:t>
            </w:r>
          </w:p>
        </w:tc>
        <w:tc>
          <w:tcPr>
            <w:tcW w:w="1198" w:type="dxa"/>
          </w:tcPr>
          <w:p w:rsidR="008C66BB" w:rsidRDefault="008C66BB" w:rsidP="0048454D">
            <w:pPr>
              <w:contextualSpacing/>
              <w:jc w:val="center"/>
            </w:pPr>
            <w:r>
              <w:t>10</w:t>
            </w:r>
          </w:p>
        </w:tc>
      </w:tr>
      <w:tr w:rsidR="008C66BB" w:rsidTr="008C66BB">
        <w:tc>
          <w:tcPr>
            <w:tcW w:w="2080" w:type="dxa"/>
          </w:tcPr>
          <w:p w:rsidR="008C66BB" w:rsidRDefault="008C66BB" w:rsidP="0048454D">
            <w:pPr>
              <w:contextualSpacing/>
              <w:rPr>
                <w:b/>
              </w:rPr>
            </w:pPr>
            <w:r w:rsidRPr="00FB1DB6">
              <w:rPr>
                <w:b/>
              </w:rPr>
              <w:t>English Learners</w:t>
            </w:r>
          </w:p>
          <w:p w:rsidR="008C66BB" w:rsidRPr="00FB1DB6" w:rsidRDefault="008C66BB" w:rsidP="0048454D">
            <w:pPr>
              <w:contextualSpacing/>
              <w:rPr>
                <w:b/>
              </w:rPr>
            </w:pPr>
          </w:p>
        </w:tc>
        <w:tc>
          <w:tcPr>
            <w:tcW w:w="1157" w:type="dxa"/>
          </w:tcPr>
          <w:p w:rsidR="008C66BB" w:rsidRDefault="008C66BB" w:rsidP="0048454D">
            <w:pPr>
              <w:contextualSpacing/>
              <w:jc w:val="center"/>
            </w:pPr>
            <w:r>
              <w:t>14</w:t>
            </w:r>
          </w:p>
        </w:tc>
        <w:tc>
          <w:tcPr>
            <w:tcW w:w="1129" w:type="dxa"/>
          </w:tcPr>
          <w:p w:rsidR="008C66BB" w:rsidRDefault="008C66BB" w:rsidP="0048454D">
            <w:pPr>
              <w:contextualSpacing/>
              <w:jc w:val="center"/>
            </w:pPr>
            <w:r>
              <w:t>13</w:t>
            </w:r>
          </w:p>
        </w:tc>
        <w:tc>
          <w:tcPr>
            <w:tcW w:w="1129" w:type="dxa"/>
          </w:tcPr>
          <w:p w:rsidR="008C66BB" w:rsidRDefault="008C66BB" w:rsidP="0048454D">
            <w:pPr>
              <w:contextualSpacing/>
              <w:jc w:val="center"/>
            </w:pPr>
            <w:r>
              <w:t>13</w:t>
            </w:r>
          </w:p>
        </w:tc>
        <w:tc>
          <w:tcPr>
            <w:tcW w:w="1129" w:type="dxa"/>
          </w:tcPr>
          <w:p w:rsidR="008C66BB" w:rsidRDefault="008C66BB" w:rsidP="0048454D">
            <w:pPr>
              <w:contextualSpacing/>
              <w:jc w:val="center"/>
            </w:pPr>
            <w:r>
              <w:t>12</w:t>
            </w:r>
          </w:p>
        </w:tc>
        <w:tc>
          <w:tcPr>
            <w:tcW w:w="1129" w:type="dxa"/>
          </w:tcPr>
          <w:p w:rsidR="008C66BB" w:rsidRDefault="008C66BB" w:rsidP="0048454D">
            <w:pPr>
              <w:contextualSpacing/>
              <w:jc w:val="center"/>
            </w:pPr>
            <w:r>
              <w:t>12</w:t>
            </w:r>
          </w:p>
        </w:tc>
        <w:tc>
          <w:tcPr>
            <w:tcW w:w="1129" w:type="dxa"/>
          </w:tcPr>
          <w:p w:rsidR="008C66BB" w:rsidRDefault="008C66BB" w:rsidP="0048454D">
            <w:pPr>
              <w:contextualSpacing/>
              <w:jc w:val="center"/>
            </w:pPr>
            <w:r>
              <w:t>11</w:t>
            </w:r>
          </w:p>
        </w:tc>
        <w:tc>
          <w:tcPr>
            <w:tcW w:w="1198" w:type="dxa"/>
          </w:tcPr>
          <w:p w:rsidR="008C66BB" w:rsidRDefault="008C66BB" w:rsidP="0048454D">
            <w:pPr>
              <w:contextualSpacing/>
              <w:jc w:val="center"/>
            </w:pPr>
            <w:r>
              <w:t>10</w:t>
            </w:r>
          </w:p>
        </w:tc>
      </w:tr>
      <w:tr w:rsidR="008C66BB" w:rsidTr="008C66BB">
        <w:tc>
          <w:tcPr>
            <w:tcW w:w="2080" w:type="dxa"/>
          </w:tcPr>
          <w:p w:rsidR="008C66BB" w:rsidRDefault="008C66BB" w:rsidP="0048454D">
            <w:pPr>
              <w:contextualSpacing/>
              <w:rPr>
                <w:b/>
              </w:rPr>
            </w:pPr>
            <w:r w:rsidRPr="00FB1DB6">
              <w:rPr>
                <w:b/>
              </w:rPr>
              <w:t>Hispanic Students</w:t>
            </w:r>
          </w:p>
          <w:p w:rsidR="008C66BB" w:rsidRPr="00FB1DB6" w:rsidRDefault="008C66BB" w:rsidP="0048454D">
            <w:pPr>
              <w:contextualSpacing/>
              <w:rPr>
                <w:b/>
              </w:rPr>
            </w:pPr>
          </w:p>
        </w:tc>
        <w:tc>
          <w:tcPr>
            <w:tcW w:w="1157" w:type="dxa"/>
          </w:tcPr>
          <w:p w:rsidR="008C66BB" w:rsidRDefault="008C66BB" w:rsidP="0048454D">
            <w:pPr>
              <w:contextualSpacing/>
              <w:jc w:val="center"/>
            </w:pPr>
            <w:r>
              <w:t>16</w:t>
            </w:r>
          </w:p>
        </w:tc>
        <w:tc>
          <w:tcPr>
            <w:tcW w:w="1129" w:type="dxa"/>
          </w:tcPr>
          <w:p w:rsidR="008C66BB" w:rsidRDefault="008C66BB" w:rsidP="0048454D">
            <w:pPr>
              <w:contextualSpacing/>
              <w:jc w:val="center"/>
            </w:pPr>
            <w:r>
              <w:t>15</w:t>
            </w:r>
          </w:p>
        </w:tc>
        <w:tc>
          <w:tcPr>
            <w:tcW w:w="1129" w:type="dxa"/>
          </w:tcPr>
          <w:p w:rsidR="008C66BB" w:rsidRDefault="008C66BB" w:rsidP="0048454D">
            <w:pPr>
              <w:contextualSpacing/>
              <w:jc w:val="center"/>
            </w:pPr>
            <w:r>
              <w:t>14</w:t>
            </w:r>
          </w:p>
        </w:tc>
        <w:tc>
          <w:tcPr>
            <w:tcW w:w="1129" w:type="dxa"/>
          </w:tcPr>
          <w:p w:rsidR="008C66BB" w:rsidRDefault="008C66BB" w:rsidP="0048454D">
            <w:pPr>
              <w:contextualSpacing/>
              <w:jc w:val="center"/>
            </w:pPr>
            <w:r>
              <w:t>13</w:t>
            </w:r>
          </w:p>
        </w:tc>
        <w:tc>
          <w:tcPr>
            <w:tcW w:w="1129" w:type="dxa"/>
          </w:tcPr>
          <w:p w:rsidR="008C66BB" w:rsidRDefault="008C66BB" w:rsidP="0048454D">
            <w:pPr>
              <w:contextualSpacing/>
              <w:jc w:val="center"/>
            </w:pPr>
            <w:r>
              <w:t>12</w:t>
            </w:r>
          </w:p>
        </w:tc>
        <w:tc>
          <w:tcPr>
            <w:tcW w:w="1129" w:type="dxa"/>
          </w:tcPr>
          <w:p w:rsidR="008C66BB" w:rsidRDefault="008C66BB" w:rsidP="0048454D">
            <w:pPr>
              <w:contextualSpacing/>
              <w:jc w:val="center"/>
            </w:pPr>
            <w:r>
              <w:t>11</w:t>
            </w:r>
          </w:p>
        </w:tc>
        <w:tc>
          <w:tcPr>
            <w:tcW w:w="1198" w:type="dxa"/>
          </w:tcPr>
          <w:p w:rsidR="008C66BB" w:rsidRDefault="008C66BB" w:rsidP="0048454D">
            <w:pPr>
              <w:contextualSpacing/>
              <w:jc w:val="center"/>
            </w:pPr>
            <w:r>
              <w:t>10</w:t>
            </w:r>
          </w:p>
        </w:tc>
      </w:tr>
      <w:tr w:rsidR="008C66BB" w:rsidTr="008C66BB">
        <w:tc>
          <w:tcPr>
            <w:tcW w:w="2080" w:type="dxa"/>
          </w:tcPr>
          <w:p w:rsidR="008C66BB" w:rsidRPr="00FB1DB6" w:rsidRDefault="008C66BB" w:rsidP="0048454D">
            <w:pPr>
              <w:contextualSpacing/>
              <w:rPr>
                <w:b/>
              </w:rPr>
            </w:pPr>
            <w:r w:rsidRPr="00FB1DB6">
              <w:rPr>
                <w:b/>
              </w:rPr>
              <w:t>Students with Disabilities</w:t>
            </w:r>
          </w:p>
        </w:tc>
        <w:tc>
          <w:tcPr>
            <w:tcW w:w="1157" w:type="dxa"/>
          </w:tcPr>
          <w:p w:rsidR="008C66BB" w:rsidRDefault="008C66BB" w:rsidP="0048454D">
            <w:pPr>
              <w:contextualSpacing/>
              <w:jc w:val="center"/>
            </w:pPr>
            <w:r>
              <w:t>22</w:t>
            </w:r>
          </w:p>
        </w:tc>
        <w:tc>
          <w:tcPr>
            <w:tcW w:w="1129" w:type="dxa"/>
          </w:tcPr>
          <w:p w:rsidR="008C66BB" w:rsidRDefault="008C66BB" w:rsidP="0048454D">
            <w:pPr>
              <w:contextualSpacing/>
              <w:jc w:val="center"/>
            </w:pPr>
            <w:r>
              <w:t>20</w:t>
            </w:r>
          </w:p>
        </w:tc>
        <w:tc>
          <w:tcPr>
            <w:tcW w:w="1129" w:type="dxa"/>
          </w:tcPr>
          <w:p w:rsidR="008C66BB" w:rsidRDefault="008C66BB" w:rsidP="0048454D">
            <w:pPr>
              <w:contextualSpacing/>
              <w:jc w:val="center"/>
            </w:pPr>
            <w:r>
              <w:t>18</w:t>
            </w:r>
          </w:p>
        </w:tc>
        <w:tc>
          <w:tcPr>
            <w:tcW w:w="1129" w:type="dxa"/>
          </w:tcPr>
          <w:p w:rsidR="008C66BB" w:rsidRDefault="008C66BB" w:rsidP="0048454D">
            <w:pPr>
              <w:contextualSpacing/>
              <w:jc w:val="center"/>
            </w:pPr>
            <w:r>
              <w:t>16</w:t>
            </w:r>
          </w:p>
        </w:tc>
        <w:tc>
          <w:tcPr>
            <w:tcW w:w="1129" w:type="dxa"/>
          </w:tcPr>
          <w:p w:rsidR="008C66BB" w:rsidRDefault="008C66BB" w:rsidP="0048454D">
            <w:pPr>
              <w:contextualSpacing/>
              <w:jc w:val="center"/>
            </w:pPr>
            <w:r>
              <w:t>14</w:t>
            </w:r>
          </w:p>
        </w:tc>
        <w:tc>
          <w:tcPr>
            <w:tcW w:w="1129" w:type="dxa"/>
          </w:tcPr>
          <w:p w:rsidR="008C66BB" w:rsidRDefault="008C66BB" w:rsidP="0048454D">
            <w:pPr>
              <w:contextualSpacing/>
              <w:jc w:val="center"/>
            </w:pPr>
            <w:r>
              <w:t>12</w:t>
            </w:r>
          </w:p>
        </w:tc>
        <w:tc>
          <w:tcPr>
            <w:tcW w:w="1198" w:type="dxa"/>
          </w:tcPr>
          <w:p w:rsidR="008C66BB" w:rsidRDefault="008C66BB" w:rsidP="0048454D">
            <w:pPr>
              <w:contextualSpacing/>
              <w:jc w:val="center"/>
            </w:pPr>
            <w:r>
              <w:t>10</w:t>
            </w:r>
          </w:p>
        </w:tc>
      </w:tr>
      <w:tr w:rsidR="008C66BB" w:rsidTr="008C66BB">
        <w:tc>
          <w:tcPr>
            <w:tcW w:w="2080" w:type="dxa"/>
          </w:tcPr>
          <w:p w:rsidR="008C66BB" w:rsidRDefault="008C66BB" w:rsidP="0048454D">
            <w:pPr>
              <w:contextualSpacing/>
              <w:rPr>
                <w:b/>
              </w:rPr>
            </w:pPr>
            <w:r w:rsidRPr="00FB1DB6">
              <w:rPr>
                <w:b/>
              </w:rPr>
              <w:t>White Students</w:t>
            </w:r>
          </w:p>
          <w:p w:rsidR="008C66BB" w:rsidRPr="00FB1DB6" w:rsidRDefault="008C66BB" w:rsidP="0048454D">
            <w:pPr>
              <w:contextualSpacing/>
              <w:rPr>
                <w:b/>
              </w:rPr>
            </w:pPr>
          </w:p>
        </w:tc>
        <w:tc>
          <w:tcPr>
            <w:tcW w:w="1157" w:type="dxa"/>
          </w:tcPr>
          <w:p w:rsidR="008C66BB" w:rsidRDefault="008C66BB" w:rsidP="0048454D">
            <w:pPr>
              <w:contextualSpacing/>
              <w:jc w:val="center"/>
            </w:pPr>
            <w:r>
              <w:t>16</w:t>
            </w:r>
          </w:p>
        </w:tc>
        <w:tc>
          <w:tcPr>
            <w:tcW w:w="1129" w:type="dxa"/>
          </w:tcPr>
          <w:p w:rsidR="008C66BB" w:rsidRDefault="008C66BB" w:rsidP="0048454D">
            <w:pPr>
              <w:contextualSpacing/>
              <w:jc w:val="center"/>
            </w:pPr>
            <w:r>
              <w:t>15</w:t>
            </w:r>
          </w:p>
        </w:tc>
        <w:tc>
          <w:tcPr>
            <w:tcW w:w="1129" w:type="dxa"/>
          </w:tcPr>
          <w:p w:rsidR="008C66BB" w:rsidRDefault="008C66BB" w:rsidP="0048454D">
            <w:pPr>
              <w:contextualSpacing/>
              <w:jc w:val="center"/>
            </w:pPr>
            <w:r>
              <w:t>14</w:t>
            </w:r>
          </w:p>
        </w:tc>
        <w:tc>
          <w:tcPr>
            <w:tcW w:w="1129" w:type="dxa"/>
          </w:tcPr>
          <w:p w:rsidR="008C66BB" w:rsidRDefault="008C66BB" w:rsidP="0048454D">
            <w:pPr>
              <w:contextualSpacing/>
              <w:jc w:val="center"/>
            </w:pPr>
            <w:r>
              <w:t>13</w:t>
            </w:r>
          </w:p>
        </w:tc>
        <w:tc>
          <w:tcPr>
            <w:tcW w:w="1129" w:type="dxa"/>
          </w:tcPr>
          <w:p w:rsidR="008C66BB" w:rsidRDefault="008C66BB" w:rsidP="0048454D">
            <w:pPr>
              <w:contextualSpacing/>
              <w:jc w:val="center"/>
            </w:pPr>
            <w:r>
              <w:t>12</w:t>
            </w:r>
          </w:p>
        </w:tc>
        <w:tc>
          <w:tcPr>
            <w:tcW w:w="1129" w:type="dxa"/>
          </w:tcPr>
          <w:p w:rsidR="008C66BB" w:rsidRDefault="008C66BB" w:rsidP="0048454D">
            <w:pPr>
              <w:contextualSpacing/>
              <w:jc w:val="center"/>
            </w:pPr>
            <w:r>
              <w:t>11</w:t>
            </w:r>
          </w:p>
        </w:tc>
        <w:tc>
          <w:tcPr>
            <w:tcW w:w="1198" w:type="dxa"/>
          </w:tcPr>
          <w:p w:rsidR="008C66BB" w:rsidRDefault="008C66BB" w:rsidP="0048454D">
            <w:pPr>
              <w:contextualSpacing/>
              <w:jc w:val="center"/>
            </w:pPr>
            <w:r>
              <w:t>10</w:t>
            </w:r>
          </w:p>
        </w:tc>
      </w:tr>
    </w:tbl>
    <w:p w:rsidR="00634547" w:rsidRDefault="00634547" w:rsidP="00AE5776">
      <w:pPr>
        <w:spacing w:after="0"/>
      </w:pPr>
    </w:p>
    <w:p w:rsidR="00D85B51" w:rsidRDefault="00D85B51" w:rsidP="00AE5776">
      <w:pPr>
        <w:autoSpaceDE w:val="0"/>
        <w:autoSpaceDN w:val="0"/>
        <w:spacing w:after="0"/>
        <w:contextualSpacing/>
      </w:pPr>
      <w:r w:rsidRPr="00406080">
        <w:t xml:space="preserve">The Department welcomes comments on </w:t>
      </w:r>
      <w:r>
        <w:t xml:space="preserve">this </w:t>
      </w:r>
      <w:r w:rsidR="00DA455B">
        <w:t>amendment</w:t>
      </w:r>
      <w:r>
        <w:t xml:space="preserve">. </w:t>
      </w:r>
      <w:r w:rsidRPr="00C9603A">
        <w:t xml:space="preserve">Comments may be submitted electronically by </w:t>
      </w:r>
      <w:r w:rsidRPr="00C9603A">
        <w:rPr>
          <w:u w:val="single"/>
        </w:rPr>
        <w:t>Fri</w:t>
      </w:r>
      <w:r>
        <w:rPr>
          <w:u w:val="single"/>
        </w:rPr>
        <w:t xml:space="preserve">day, </w:t>
      </w:r>
      <w:r w:rsidR="00354B9E">
        <w:rPr>
          <w:u w:val="single"/>
        </w:rPr>
        <w:t>July 26</w:t>
      </w:r>
      <w:r w:rsidR="00DA455B">
        <w:rPr>
          <w:u w:val="single"/>
        </w:rPr>
        <w:t>, 2019</w:t>
      </w:r>
      <w:r w:rsidRPr="00C9603A">
        <w:t xml:space="preserve">, to </w:t>
      </w:r>
      <w:hyperlink r:id="rId12" w:history="1">
        <w:r w:rsidRPr="00C9603A">
          <w:rPr>
            <w:rStyle w:val="Hyperlink"/>
          </w:rPr>
          <w:t>ESSA@doe.virginia.gov</w:t>
        </w:r>
      </w:hyperlink>
      <w:r w:rsidRPr="00C9603A">
        <w:t>.</w:t>
      </w:r>
      <w:r w:rsidRPr="00406080">
        <w:t xml:space="preserve"> Comments may also be presented </w:t>
      </w:r>
      <w:r>
        <w:t xml:space="preserve">in person </w:t>
      </w:r>
      <w:r w:rsidR="00DA455B">
        <w:t xml:space="preserve">during </w:t>
      </w:r>
      <w:r w:rsidR="00AE5776">
        <w:t xml:space="preserve">the </w:t>
      </w:r>
      <w:r>
        <w:t>Board of Education Business Meeting</w:t>
      </w:r>
      <w:r w:rsidR="00281814">
        <w:t>s on Thursday, June 20</w:t>
      </w:r>
      <w:r w:rsidR="00DA455B">
        <w:t>, 2019</w:t>
      </w:r>
      <w:r w:rsidR="00AE5776">
        <w:t>,</w:t>
      </w:r>
      <w:r w:rsidR="00354B9E">
        <w:t xml:space="preserve"> and on Thursday, July 25</w:t>
      </w:r>
      <w:r w:rsidR="00DA455B">
        <w:t xml:space="preserve">, 2019. The meetings will </w:t>
      </w:r>
      <w:r>
        <w:t xml:space="preserve">convene at 9:00 a.m. </w:t>
      </w:r>
      <w:r w:rsidRPr="00406080">
        <w:t>in the Jefferson Conference Room, 22</w:t>
      </w:r>
      <w:r w:rsidRPr="00406080">
        <w:rPr>
          <w:vertAlign w:val="superscript"/>
        </w:rPr>
        <w:t>nd</w:t>
      </w:r>
      <w:r w:rsidRPr="00406080">
        <w:t xml:space="preserve"> floor, James Monroe Building, 101 N. 14</w:t>
      </w:r>
      <w:r w:rsidRPr="00406080">
        <w:rPr>
          <w:vertAlign w:val="superscript"/>
        </w:rPr>
        <w:t>th</w:t>
      </w:r>
      <w:r>
        <w:t xml:space="preserve"> Street, Richmond, Virginia. </w:t>
      </w:r>
      <w:r w:rsidRPr="00406080">
        <w:t>Speakers intending to present comment are encouraged to contact</w:t>
      </w:r>
      <w:r>
        <w:t xml:space="preserve"> Sonya Broady, Secretary, Office of Board R</w:t>
      </w:r>
      <w:r w:rsidRPr="00406080">
        <w:t xml:space="preserve">elations, at </w:t>
      </w:r>
      <w:hyperlink r:id="rId13" w:history="1">
        <w:r w:rsidRPr="00C93644">
          <w:rPr>
            <w:rStyle w:val="Hyperlink"/>
          </w:rPr>
          <w:t>sonya.broady@doe.virginia.gov</w:t>
        </w:r>
      </w:hyperlink>
      <w:r>
        <w:t xml:space="preserve"> </w:t>
      </w:r>
      <w:r w:rsidRPr="00406080">
        <w:t>to be placed</w:t>
      </w:r>
      <w:r w:rsidR="00432447">
        <w:t xml:space="preserve"> on the speaker list.</w:t>
      </w:r>
    </w:p>
    <w:p w:rsidR="00D85B51" w:rsidRPr="00406080" w:rsidRDefault="00D85B51" w:rsidP="00D85B51">
      <w:pPr>
        <w:autoSpaceDE w:val="0"/>
        <w:autoSpaceDN w:val="0"/>
        <w:contextualSpacing/>
      </w:pPr>
    </w:p>
    <w:p w:rsidR="00DE02F8" w:rsidRDefault="00D85B51" w:rsidP="00FA484E">
      <w:pPr>
        <w:autoSpaceDE w:val="0"/>
        <w:autoSpaceDN w:val="0"/>
        <w:spacing w:after="0"/>
      </w:pPr>
      <w:r>
        <w:t>Q</w:t>
      </w:r>
      <w:r w:rsidRPr="00406080">
        <w:t xml:space="preserve">uestions regarding Virginia’s </w:t>
      </w:r>
      <w:r w:rsidRPr="00AE5776">
        <w:t>ESSA State Plan</w:t>
      </w:r>
      <w:r>
        <w:t xml:space="preserve"> may </w:t>
      </w:r>
      <w:r w:rsidRPr="00406080">
        <w:t xml:space="preserve">be submitted to </w:t>
      </w:r>
      <w:hyperlink r:id="rId14" w:history="1">
        <w:r w:rsidRPr="00C16ABF">
          <w:rPr>
            <w:rStyle w:val="Hyperlink"/>
          </w:rPr>
          <w:t>ESSA@doe.virginia.gov</w:t>
        </w:r>
      </w:hyperlink>
      <w:r w:rsidRPr="00406080">
        <w:t>.</w:t>
      </w:r>
    </w:p>
    <w:p w:rsidR="00FA484E" w:rsidRPr="00DE02F8" w:rsidRDefault="00FA484E" w:rsidP="00FA484E">
      <w:pPr>
        <w:autoSpaceDE w:val="0"/>
        <w:autoSpaceDN w:val="0"/>
        <w:spacing w:after="0"/>
      </w:pPr>
    </w:p>
    <w:p w:rsidR="00FA484E" w:rsidRPr="002D55C3" w:rsidRDefault="00D85B51" w:rsidP="00FA484E">
      <w:pPr>
        <w:spacing w:after="0"/>
        <w:rPr>
          <w:color w:val="000000"/>
          <w:szCs w:val="24"/>
        </w:rPr>
      </w:pPr>
      <w:r>
        <w:rPr>
          <w:color w:val="000000"/>
          <w:szCs w:val="24"/>
        </w:rPr>
        <w:t>JFL/ls</w:t>
      </w:r>
    </w:p>
    <w:sectPr w:rsidR="00FA484E" w:rsidRPr="002D5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CE" w:rsidRDefault="00E75FCE" w:rsidP="00B25322">
      <w:pPr>
        <w:spacing w:after="0" w:line="240" w:lineRule="auto"/>
      </w:pPr>
      <w:r>
        <w:separator/>
      </w:r>
    </w:p>
  </w:endnote>
  <w:endnote w:type="continuationSeparator" w:id="0">
    <w:p w:rsidR="00E75FCE" w:rsidRDefault="00E75FC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CE" w:rsidRDefault="00E75FCE" w:rsidP="00B25322">
      <w:pPr>
        <w:spacing w:after="0" w:line="240" w:lineRule="auto"/>
      </w:pPr>
      <w:r>
        <w:separator/>
      </w:r>
    </w:p>
  </w:footnote>
  <w:footnote w:type="continuationSeparator" w:id="0">
    <w:p w:rsidR="00E75FCE" w:rsidRDefault="00E75FC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48"/>
    <w:multiLevelType w:val="hybridMultilevel"/>
    <w:tmpl w:val="1F36CE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543482"/>
    <w:multiLevelType w:val="hybridMultilevel"/>
    <w:tmpl w:val="3BA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D2AEE"/>
    <w:multiLevelType w:val="hybridMultilevel"/>
    <w:tmpl w:val="25BE4D72"/>
    <w:lvl w:ilvl="0" w:tplc="69069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attachedTemplate r:id="rId1"/>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4A1A"/>
    <w:rsid w:val="00062952"/>
    <w:rsid w:val="000D3917"/>
    <w:rsid w:val="000E2D83"/>
    <w:rsid w:val="000F4BFE"/>
    <w:rsid w:val="00101998"/>
    <w:rsid w:val="001301FE"/>
    <w:rsid w:val="00167950"/>
    <w:rsid w:val="001D4CD4"/>
    <w:rsid w:val="00223595"/>
    <w:rsid w:val="00227B1E"/>
    <w:rsid w:val="0027145D"/>
    <w:rsid w:val="00281814"/>
    <w:rsid w:val="002A6350"/>
    <w:rsid w:val="002D05AE"/>
    <w:rsid w:val="002D55C3"/>
    <w:rsid w:val="002F2DAF"/>
    <w:rsid w:val="0031177E"/>
    <w:rsid w:val="003238EA"/>
    <w:rsid w:val="00333282"/>
    <w:rsid w:val="00337827"/>
    <w:rsid w:val="00354B9E"/>
    <w:rsid w:val="00406FF4"/>
    <w:rsid w:val="00432447"/>
    <w:rsid w:val="00476A19"/>
    <w:rsid w:val="004C7DB9"/>
    <w:rsid w:val="004F6547"/>
    <w:rsid w:val="005030B1"/>
    <w:rsid w:val="00520EC8"/>
    <w:rsid w:val="00536061"/>
    <w:rsid w:val="005E06EF"/>
    <w:rsid w:val="005E1C33"/>
    <w:rsid w:val="00625A9B"/>
    <w:rsid w:val="00634547"/>
    <w:rsid w:val="00653DCC"/>
    <w:rsid w:val="0073236D"/>
    <w:rsid w:val="00741135"/>
    <w:rsid w:val="00793593"/>
    <w:rsid w:val="007A73B4"/>
    <w:rsid w:val="007B1C8A"/>
    <w:rsid w:val="007C0B3F"/>
    <w:rsid w:val="007C3E67"/>
    <w:rsid w:val="007E6D82"/>
    <w:rsid w:val="007F0F94"/>
    <w:rsid w:val="00851C0B"/>
    <w:rsid w:val="008631A7"/>
    <w:rsid w:val="008C4A46"/>
    <w:rsid w:val="008C66BB"/>
    <w:rsid w:val="008D650A"/>
    <w:rsid w:val="008E39E7"/>
    <w:rsid w:val="00936CD8"/>
    <w:rsid w:val="00977AFA"/>
    <w:rsid w:val="009B33E5"/>
    <w:rsid w:val="009B51FA"/>
    <w:rsid w:val="009C7253"/>
    <w:rsid w:val="009E613D"/>
    <w:rsid w:val="00A26586"/>
    <w:rsid w:val="00A30BC9"/>
    <w:rsid w:val="00A3144F"/>
    <w:rsid w:val="00A35045"/>
    <w:rsid w:val="00A40F34"/>
    <w:rsid w:val="00A65EE6"/>
    <w:rsid w:val="00A67B2F"/>
    <w:rsid w:val="00AB2F1A"/>
    <w:rsid w:val="00AD7C32"/>
    <w:rsid w:val="00AE5776"/>
    <w:rsid w:val="00AE65FD"/>
    <w:rsid w:val="00AE73D6"/>
    <w:rsid w:val="00B01E92"/>
    <w:rsid w:val="00B25322"/>
    <w:rsid w:val="00BC1A9C"/>
    <w:rsid w:val="00BD386A"/>
    <w:rsid w:val="00BE00E6"/>
    <w:rsid w:val="00C23584"/>
    <w:rsid w:val="00C25FA1"/>
    <w:rsid w:val="00C36945"/>
    <w:rsid w:val="00CA70A4"/>
    <w:rsid w:val="00CD617A"/>
    <w:rsid w:val="00CF0233"/>
    <w:rsid w:val="00CF46DC"/>
    <w:rsid w:val="00D31697"/>
    <w:rsid w:val="00D534B4"/>
    <w:rsid w:val="00D55B56"/>
    <w:rsid w:val="00D85B51"/>
    <w:rsid w:val="00DA14B1"/>
    <w:rsid w:val="00DA455B"/>
    <w:rsid w:val="00DD368F"/>
    <w:rsid w:val="00DE02F8"/>
    <w:rsid w:val="00DE36A1"/>
    <w:rsid w:val="00DF4E28"/>
    <w:rsid w:val="00E12E2F"/>
    <w:rsid w:val="00E4085F"/>
    <w:rsid w:val="00E40B34"/>
    <w:rsid w:val="00E75FCE"/>
    <w:rsid w:val="00E760E6"/>
    <w:rsid w:val="00ED79E7"/>
    <w:rsid w:val="00EF4F6F"/>
    <w:rsid w:val="00F41943"/>
    <w:rsid w:val="00F81813"/>
    <w:rsid w:val="00FA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29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2D55C3"/>
    <w:pPr>
      <w:outlineLvl w:val="2"/>
    </w:pPr>
    <w:rPr>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2D55C3"/>
    <w:rPr>
      <w:rFonts w:ascii="Times New Roman" w:hAnsi="Times New Roman"/>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85B51"/>
    <w:rPr>
      <w:color w:val="800080" w:themeColor="followedHyperlink"/>
      <w:u w:val="single"/>
    </w:rPr>
  </w:style>
  <w:style w:type="table" w:styleId="TableGrid">
    <w:name w:val="Table Grid"/>
    <w:basedOn w:val="TableNormal"/>
    <w:uiPriority w:val="59"/>
    <w:rsid w:val="008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52025">
      <w:bodyDiv w:val="1"/>
      <w:marLeft w:val="0"/>
      <w:marRight w:val="0"/>
      <w:marTop w:val="0"/>
      <w:marBottom w:val="0"/>
      <w:divBdr>
        <w:top w:val="none" w:sz="0" w:space="0" w:color="auto"/>
        <w:left w:val="none" w:sz="0" w:space="0" w:color="auto"/>
        <w:bottom w:val="none" w:sz="0" w:space="0" w:color="auto"/>
        <w:right w:val="none" w:sz="0" w:space="0" w:color="auto"/>
      </w:divBdr>
    </w:div>
    <w:div w:id="11727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sonya.broady@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SA@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federal_programs/esea/essa/essa-state-pla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virginia.gov/administrators/superintendents_memos/2019/127-19.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ESSA@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4F4B-802B-4FA0-ADB9-F81D36BF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Superintendent's Memo 019-19</vt:lpstr>
    </vt:vector>
  </TitlesOfParts>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019-19</dc:title>
  <dc:creator/>
  <cp:lastModifiedBy/>
  <cp:revision>1</cp:revision>
  <dcterms:created xsi:type="dcterms:W3CDTF">2019-06-06T12:47:00Z</dcterms:created>
  <dcterms:modified xsi:type="dcterms:W3CDTF">2019-06-06T12:47:00Z</dcterms:modified>
</cp:coreProperties>
</file>