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56" w:rsidRPr="003A3D01" w:rsidRDefault="007C7856" w:rsidP="007C7856">
      <w:pPr>
        <w:pStyle w:val="Heading1"/>
        <w:tabs>
          <w:tab w:val="left" w:pos="1440"/>
        </w:tabs>
        <w:jc w:val="right"/>
        <w:rPr>
          <w:b w:val="0"/>
        </w:rPr>
      </w:pPr>
      <w:r w:rsidRPr="003A3D01">
        <w:rPr>
          <w:b w:val="0"/>
        </w:rPr>
        <w:t>Superintendent’s Memo #</w:t>
      </w:r>
      <w:bookmarkStart w:id="0" w:name="_GoBack"/>
      <w:r w:rsidR="002E6EF3">
        <w:rPr>
          <w:b w:val="0"/>
        </w:rPr>
        <w:t>126</w:t>
      </w:r>
      <w:r w:rsidRPr="003A3D01">
        <w:rPr>
          <w:b w:val="0"/>
        </w:rPr>
        <w:t>-19</w:t>
      </w:r>
      <w:bookmarkEnd w:id="0"/>
    </w:p>
    <w:p w:rsidR="007C7856" w:rsidRDefault="007C7856" w:rsidP="00B27D94">
      <w:pPr>
        <w:spacing w:after="0" w:line="240" w:lineRule="auto"/>
        <w:jc w:val="center"/>
        <w:rPr>
          <w:rFonts w:ascii="Times New Roman" w:hAnsi="Times New Roman" w:cs="Times New Roman"/>
          <w:sz w:val="16"/>
          <w:szCs w:val="16"/>
        </w:rPr>
      </w:pPr>
      <w:r w:rsidRPr="00F670D9">
        <w:rPr>
          <w:rFonts w:ascii="Times New Roman" w:hAnsi="Times New Roman" w:cs="Times New Roman"/>
          <w:noProof/>
          <w:sz w:val="24"/>
          <w:szCs w:val="24"/>
        </w:rPr>
        <w:drawing>
          <wp:inline distT="0" distB="0" distL="0" distR="0" wp14:anchorId="3D44563E" wp14:editId="01AD6118">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F670D9">
        <w:rPr>
          <w:rFonts w:ascii="Times New Roman" w:hAnsi="Times New Roman" w:cs="Times New Roman"/>
          <w:sz w:val="24"/>
          <w:szCs w:val="24"/>
        </w:rPr>
        <w:br/>
      </w:r>
      <w:r w:rsidRPr="00F670D9">
        <w:rPr>
          <w:rStyle w:val="Strong"/>
          <w:rFonts w:ascii="Times New Roman" w:hAnsi="Times New Roman" w:cs="Times New Roman"/>
          <w:color w:val="000000"/>
          <w:sz w:val="24"/>
          <w:szCs w:val="24"/>
        </w:rPr>
        <w:t>COMMONWEALTH of VIRGINIA</w:t>
      </w:r>
      <w:r w:rsidRPr="00F670D9">
        <w:rPr>
          <w:rFonts w:ascii="Times New Roman" w:hAnsi="Times New Roman" w:cs="Times New Roman"/>
          <w:b/>
          <w:bCs/>
          <w:color w:val="000000"/>
          <w:sz w:val="24"/>
          <w:szCs w:val="24"/>
        </w:rPr>
        <w:br/>
      </w:r>
      <w:r w:rsidRPr="00F670D9">
        <w:rPr>
          <w:rStyle w:val="Strong"/>
          <w:rFonts w:ascii="Times New Roman" w:hAnsi="Times New Roman" w:cs="Times New Roman"/>
          <w:color w:val="000000"/>
          <w:sz w:val="24"/>
          <w:szCs w:val="24"/>
        </w:rPr>
        <w:t>Department of Education</w:t>
      </w:r>
      <w:r w:rsidRPr="00F670D9">
        <w:rPr>
          <w:rStyle w:val="Strong"/>
          <w:rFonts w:ascii="Times New Roman" w:hAnsi="Times New Roman" w:cs="Times New Roman"/>
          <w:color w:val="000000"/>
          <w:sz w:val="24"/>
          <w:szCs w:val="24"/>
        </w:rPr>
        <w:br/>
      </w:r>
    </w:p>
    <w:p w:rsidR="009F2FA7" w:rsidRPr="00B27D94" w:rsidRDefault="009F2FA7" w:rsidP="00B27D94">
      <w:pPr>
        <w:spacing w:after="0" w:line="240" w:lineRule="auto"/>
        <w:jc w:val="center"/>
        <w:rPr>
          <w:rFonts w:ascii="Times New Roman" w:hAnsi="Times New Roman" w:cs="Times New Roman"/>
          <w:sz w:val="16"/>
          <w:szCs w:val="16"/>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DATE:</w:t>
      </w:r>
      <w:r w:rsidRPr="007C7856">
        <w:rPr>
          <w:rFonts w:ascii="Times New Roman" w:hAnsi="Times New Roman" w:cs="Times New Roman"/>
          <w:sz w:val="24"/>
          <w:szCs w:val="24"/>
        </w:rPr>
        <w:tab/>
      </w:r>
      <w:r w:rsidR="00F54A49">
        <w:rPr>
          <w:rFonts w:ascii="Times New Roman" w:hAnsi="Times New Roman" w:cs="Times New Roman"/>
          <w:sz w:val="24"/>
          <w:szCs w:val="24"/>
        </w:rPr>
        <w:t xml:space="preserve">May </w:t>
      </w:r>
      <w:r w:rsidR="00656745">
        <w:rPr>
          <w:rFonts w:ascii="Times New Roman" w:hAnsi="Times New Roman" w:cs="Times New Roman"/>
          <w:sz w:val="24"/>
          <w:szCs w:val="24"/>
        </w:rPr>
        <w:t>31</w:t>
      </w:r>
      <w:r w:rsidRPr="007C7856">
        <w:rPr>
          <w:rFonts w:ascii="Times New Roman" w:hAnsi="Times New Roman" w:cs="Times New Roman"/>
          <w:sz w:val="24"/>
          <w:szCs w:val="24"/>
        </w:rPr>
        <w:t>, 2019</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TO: </w:t>
      </w:r>
      <w:r w:rsidRPr="007C7856">
        <w:rPr>
          <w:rFonts w:ascii="Times New Roman" w:hAnsi="Times New Roman" w:cs="Times New Roman"/>
          <w:sz w:val="24"/>
          <w:szCs w:val="24"/>
        </w:rPr>
        <w:tab/>
        <w:t>Division Superintendents</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7C7856" w:rsidRDefault="007C7856" w:rsidP="00B27D94">
      <w:pPr>
        <w:tabs>
          <w:tab w:val="left" w:pos="1800"/>
        </w:tabs>
        <w:spacing w:after="0" w:line="240" w:lineRule="auto"/>
        <w:rPr>
          <w:rFonts w:ascii="Times New Roman" w:hAnsi="Times New Roman" w:cs="Times New Roman"/>
          <w:sz w:val="24"/>
          <w:szCs w:val="24"/>
        </w:rPr>
      </w:pPr>
      <w:r w:rsidRPr="007C7856">
        <w:rPr>
          <w:rFonts w:ascii="Times New Roman" w:hAnsi="Times New Roman" w:cs="Times New Roman"/>
          <w:sz w:val="24"/>
          <w:szCs w:val="24"/>
        </w:rPr>
        <w:t xml:space="preserve">FROM: </w:t>
      </w:r>
      <w:r w:rsidRPr="007C7856">
        <w:rPr>
          <w:rFonts w:ascii="Times New Roman" w:hAnsi="Times New Roman" w:cs="Times New Roman"/>
          <w:sz w:val="24"/>
          <w:szCs w:val="24"/>
        </w:rPr>
        <w:tab/>
      </w:r>
      <w:r w:rsidRPr="007C7856">
        <w:rPr>
          <w:rFonts w:ascii="Times New Roman" w:hAnsi="Times New Roman" w:cs="Times New Roman"/>
          <w:color w:val="000000"/>
          <w:sz w:val="24"/>
          <w:szCs w:val="24"/>
        </w:rPr>
        <w:t>James F. Lane</w:t>
      </w:r>
      <w:r w:rsidRPr="007C7856">
        <w:rPr>
          <w:rFonts w:ascii="Times New Roman" w:hAnsi="Times New Roman" w:cs="Times New Roman"/>
          <w:sz w:val="24"/>
          <w:szCs w:val="24"/>
        </w:rPr>
        <w:t xml:space="preserve">, </w:t>
      </w:r>
      <w:proofErr w:type="gramStart"/>
      <w:r w:rsidRPr="007C7856">
        <w:rPr>
          <w:rFonts w:ascii="Times New Roman" w:hAnsi="Times New Roman" w:cs="Times New Roman"/>
          <w:color w:val="000000"/>
          <w:sz w:val="24"/>
          <w:szCs w:val="24"/>
        </w:rPr>
        <w:t>Ed.D.,</w:t>
      </w:r>
      <w:proofErr w:type="gramEnd"/>
      <w:r w:rsidR="00782FA9">
        <w:rPr>
          <w:rFonts w:ascii="Times New Roman" w:hAnsi="Times New Roman" w:cs="Times New Roman"/>
          <w:color w:val="000000"/>
          <w:sz w:val="24"/>
          <w:szCs w:val="24"/>
        </w:rPr>
        <w:t xml:space="preserve"> </w:t>
      </w:r>
      <w:r w:rsidRPr="007C7856">
        <w:rPr>
          <w:rFonts w:ascii="Times New Roman" w:hAnsi="Times New Roman" w:cs="Times New Roman"/>
          <w:sz w:val="24"/>
          <w:szCs w:val="24"/>
        </w:rPr>
        <w:t>Superintendent of Public Instruction</w:t>
      </w:r>
    </w:p>
    <w:p w:rsidR="00F24FD6" w:rsidRPr="00F24FD6" w:rsidRDefault="00F24FD6" w:rsidP="00B27D94">
      <w:pPr>
        <w:tabs>
          <w:tab w:val="left" w:pos="1800"/>
        </w:tabs>
        <w:spacing w:after="0" w:line="240" w:lineRule="auto"/>
        <w:rPr>
          <w:rFonts w:ascii="Times New Roman" w:hAnsi="Times New Roman" w:cs="Times New Roman"/>
          <w:sz w:val="20"/>
          <w:szCs w:val="24"/>
        </w:rPr>
      </w:pPr>
    </w:p>
    <w:p w:rsidR="00D0439D" w:rsidRDefault="007C7856" w:rsidP="00B27D94">
      <w:pPr>
        <w:pStyle w:val="Heading2"/>
        <w:tabs>
          <w:tab w:val="left" w:pos="1800"/>
        </w:tabs>
        <w:spacing w:before="0" w:line="240" w:lineRule="auto"/>
        <w:ind w:left="1800" w:hanging="1800"/>
        <w:rPr>
          <w:rFonts w:ascii="Times New Roman" w:hAnsi="Times New Roman" w:cs="Times New Roman"/>
          <w:color w:val="auto"/>
          <w:sz w:val="24"/>
          <w:szCs w:val="24"/>
        </w:rPr>
      </w:pPr>
      <w:r w:rsidRPr="007C7856">
        <w:rPr>
          <w:rFonts w:ascii="Times New Roman" w:hAnsi="Times New Roman" w:cs="Times New Roman"/>
          <w:color w:val="auto"/>
          <w:sz w:val="24"/>
          <w:szCs w:val="24"/>
        </w:rPr>
        <w:t xml:space="preserve">SUBJECT: </w:t>
      </w:r>
      <w:r w:rsidRPr="007C7856">
        <w:rPr>
          <w:rFonts w:ascii="Times New Roman" w:hAnsi="Times New Roman" w:cs="Times New Roman"/>
          <w:color w:val="auto"/>
          <w:sz w:val="24"/>
          <w:szCs w:val="24"/>
        </w:rPr>
        <w:tab/>
      </w:r>
      <w:r w:rsidR="00782FA9">
        <w:rPr>
          <w:rFonts w:ascii="Times New Roman" w:hAnsi="Times New Roman" w:cs="Times New Roman"/>
          <w:color w:val="auto"/>
          <w:sz w:val="24"/>
          <w:szCs w:val="24"/>
        </w:rPr>
        <w:t>Annual Update of Industry Credentials for Teachers Seeking an Initial Virginia License with an Endorsement in an Area of Career and Technical</w:t>
      </w:r>
      <w:r w:rsidR="005719F2">
        <w:rPr>
          <w:rFonts w:ascii="Times New Roman" w:hAnsi="Times New Roman" w:cs="Times New Roman"/>
          <w:color w:val="auto"/>
          <w:sz w:val="24"/>
          <w:szCs w:val="24"/>
        </w:rPr>
        <w:t xml:space="preserve"> Education</w:t>
      </w:r>
    </w:p>
    <w:p w:rsidR="00782FA9" w:rsidRDefault="00782FA9" w:rsidP="00782FA9">
      <w:pPr>
        <w:spacing w:after="0" w:line="240" w:lineRule="auto"/>
        <w:rPr>
          <w:rFonts w:ascii="Times New Roman" w:hAnsi="Times New Roman" w:cs="Times New Roman"/>
          <w:sz w:val="24"/>
          <w:szCs w:val="24"/>
        </w:rPr>
      </w:pPr>
    </w:p>
    <w:p w:rsidR="00782FA9" w:rsidRPr="00FA68F4" w:rsidRDefault="00782FA9" w:rsidP="00782FA9">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782FA9" w:rsidRPr="00FA68F4" w:rsidRDefault="00782FA9" w:rsidP="00782FA9">
      <w:pPr>
        <w:spacing w:after="0" w:line="240" w:lineRule="auto"/>
        <w:rPr>
          <w:rFonts w:ascii="Times New Roman" w:hAnsi="Times New Roman" w:cs="Times New Roman"/>
          <w:sz w:val="24"/>
          <w:szCs w:val="24"/>
        </w:rPr>
      </w:pPr>
    </w:p>
    <w:p w:rsidR="00782FA9" w:rsidRPr="00FA68F4" w:rsidRDefault="00782FA9" w:rsidP="00782FA9">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FA68F4">
        <w:rPr>
          <w:rFonts w:ascii="Times New Roman" w:hAnsi="Times New Roman" w:cs="Times New Roman"/>
          <w:i/>
          <w:sz w:val="24"/>
          <w:szCs w:val="24"/>
        </w:rPr>
        <w:t>20</w:t>
      </w:r>
      <w:r>
        <w:rPr>
          <w:rFonts w:ascii="Times New Roman" w:hAnsi="Times New Roman" w:cs="Times New Roman"/>
          <w:i/>
          <w:sz w:val="24"/>
          <w:szCs w:val="24"/>
        </w:rPr>
        <w:t>19</w:t>
      </w:r>
      <w:r w:rsidRPr="00FA68F4">
        <w:rPr>
          <w:rFonts w:ascii="Times New Roman" w:hAnsi="Times New Roman" w:cs="Times New Roman"/>
          <w:i/>
          <w:sz w:val="24"/>
          <w:szCs w:val="24"/>
        </w:rPr>
        <w:t>-20</w:t>
      </w:r>
      <w:r>
        <w:rPr>
          <w:rFonts w:ascii="Times New Roman" w:hAnsi="Times New Roman" w:cs="Times New Roman"/>
          <w:i/>
          <w:sz w:val="24"/>
          <w:szCs w:val="24"/>
        </w:rPr>
        <w:t>20</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w:t>
      </w:r>
      <w:r w:rsidRPr="00782FA9">
        <w:rPr>
          <w:rFonts w:ascii="Times New Roman" w:hAnsi="Times New Roman" w:cs="Times New Roman"/>
          <w:i/>
          <w:sz w:val="24"/>
          <w:szCs w:val="24"/>
        </w:rPr>
        <w:t xml:space="preserve">Education </w:t>
      </w:r>
      <w:hyperlink r:id="rId7" w:history="1">
        <w:r w:rsidRPr="00782FA9">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rsidR="00782FA9" w:rsidRPr="00D11BE7" w:rsidRDefault="00782FA9" w:rsidP="00782FA9">
      <w:pPr>
        <w:spacing w:after="0" w:line="240" w:lineRule="auto"/>
        <w:rPr>
          <w:rFonts w:ascii="Times New Roman" w:hAnsi="Times New Roman" w:cs="Times New Roman"/>
          <w:sz w:val="24"/>
          <w:szCs w:val="24"/>
        </w:rPr>
      </w:pPr>
    </w:p>
    <w:p w:rsidR="00782FA9" w:rsidRPr="00D11BE7" w:rsidRDefault="00782FA9" w:rsidP="00782FA9">
      <w:pPr>
        <w:spacing w:after="0" w:line="240" w:lineRule="auto"/>
        <w:rPr>
          <w:rFonts w:ascii="Times New Roman" w:eastAsia="Times New Roman" w:hAnsi="Times New Roman" w:cs="Times New Roman"/>
          <w:sz w:val="24"/>
          <w:szCs w:val="24"/>
        </w:rPr>
      </w:pPr>
      <w:r w:rsidRPr="00D11BE7">
        <w:rPr>
          <w:rFonts w:ascii="Times New Roman" w:eastAsia="Times New Roman" w:hAnsi="Times New Roman" w:cs="Times New Roman"/>
          <w:sz w:val="24"/>
          <w:szCs w:val="24"/>
        </w:rPr>
        <w:t xml:space="preserve">If you have </w:t>
      </w:r>
      <w:r w:rsidR="0053527A">
        <w:rPr>
          <w:rFonts w:ascii="Times New Roman" w:eastAsia="Times New Roman" w:hAnsi="Times New Roman" w:cs="Times New Roman"/>
          <w:sz w:val="24"/>
          <w:szCs w:val="24"/>
        </w:rPr>
        <w:t>specific</w:t>
      </w:r>
      <w:r w:rsidRPr="00D11BE7">
        <w:rPr>
          <w:rFonts w:ascii="Times New Roman" w:eastAsia="Times New Roman" w:hAnsi="Times New Roman" w:cs="Times New Roman"/>
          <w:sz w:val="24"/>
          <w:szCs w:val="24"/>
        </w:rPr>
        <w:t xml:space="preserve"> questions</w:t>
      </w:r>
      <w:r w:rsidR="0053527A">
        <w:rPr>
          <w:rFonts w:ascii="Times New Roman" w:eastAsia="Times New Roman" w:hAnsi="Times New Roman" w:cs="Times New Roman"/>
          <w:sz w:val="24"/>
          <w:szCs w:val="24"/>
        </w:rPr>
        <w:t xml:space="preserve"> about </w:t>
      </w:r>
      <w:r w:rsidR="0053527A" w:rsidRPr="0053527A">
        <w:rPr>
          <w:rFonts w:ascii="Times New Roman" w:hAnsi="Times New Roman" w:cs="Times New Roman"/>
          <w:sz w:val="24"/>
          <w:szCs w:val="24"/>
        </w:rPr>
        <w:t>Industry Credentials for Teachers Seeking an Initial Virginia License</w:t>
      </w:r>
      <w:r w:rsidRPr="00D11BE7">
        <w:rPr>
          <w:rFonts w:ascii="Times New Roman" w:eastAsia="Times New Roman" w:hAnsi="Times New Roman" w:cs="Times New Roman"/>
          <w:sz w:val="24"/>
          <w:szCs w:val="24"/>
        </w:rPr>
        <w:t xml:space="preserve">, contact </w:t>
      </w:r>
      <w:r w:rsidR="0053527A">
        <w:rPr>
          <w:rFonts w:ascii="Times New Roman" w:eastAsia="Times New Roman" w:hAnsi="Times New Roman" w:cs="Times New Roman"/>
          <w:sz w:val="24"/>
          <w:szCs w:val="24"/>
        </w:rPr>
        <w:t xml:space="preserve">the </w:t>
      </w:r>
      <w:r w:rsidRPr="00D11BE7">
        <w:rPr>
          <w:rFonts w:ascii="Times New Roman" w:eastAsia="Times New Roman" w:hAnsi="Times New Roman" w:cs="Times New Roman"/>
          <w:sz w:val="24"/>
          <w:szCs w:val="24"/>
        </w:rPr>
        <w:t>Office of Career, Technical, and Adult Education</w:t>
      </w:r>
      <w:r w:rsidR="0053527A">
        <w:rPr>
          <w:rFonts w:ascii="Times New Roman" w:eastAsia="Times New Roman" w:hAnsi="Times New Roman" w:cs="Times New Roman"/>
          <w:sz w:val="24"/>
          <w:szCs w:val="24"/>
        </w:rPr>
        <w:t xml:space="preserve"> staff</w:t>
      </w:r>
      <w:r w:rsidRPr="00D11BE7">
        <w:rPr>
          <w:rFonts w:ascii="Times New Roman" w:eastAsia="Times New Roman" w:hAnsi="Times New Roman" w:cs="Times New Roman"/>
          <w:sz w:val="24"/>
          <w:szCs w:val="24"/>
        </w:rPr>
        <w:t xml:space="preserve">, </w:t>
      </w:r>
      <w:r w:rsidRPr="00782FA9">
        <w:rPr>
          <w:rFonts w:ascii="Times New Roman" w:eastAsia="Times New Roman" w:hAnsi="Times New Roman" w:cs="Times New Roman"/>
          <w:sz w:val="24"/>
          <w:szCs w:val="24"/>
        </w:rPr>
        <w:t xml:space="preserve">at </w:t>
      </w:r>
      <w:hyperlink r:id="rId8" w:history="1">
        <w:r w:rsidRPr="00782FA9">
          <w:rPr>
            <w:rStyle w:val="Hyperlink"/>
            <w:rFonts w:ascii="Times New Roman" w:hAnsi="Times New Roman" w:cs="Times New Roman"/>
            <w:sz w:val="24"/>
            <w:szCs w:val="24"/>
          </w:rPr>
          <w:t>cte@doe.virginia.gov</w:t>
        </w:r>
      </w:hyperlink>
      <w:r w:rsidRPr="00782FA9">
        <w:rPr>
          <w:rFonts w:ascii="Times New Roman" w:eastAsia="Times New Roman" w:hAnsi="Times New Roman" w:cs="Times New Roman"/>
          <w:sz w:val="24"/>
          <w:szCs w:val="24"/>
        </w:rPr>
        <w:t xml:space="preserve"> or</w:t>
      </w:r>
      <w:r w:rsidRPr="00D11BE7">
        <w:rPr>
          <w:rFonts w:ascii="Times New Roman" w:eastAsia="Times New Roman" w:hAnsi="Times New Roman" w:cs="Times New Roman"/>
          <w:sz w:val="24"/>
          <w:szCs w:val="24"/>
        </w:rPr>
        <w:t xml:space="preserve"> by telephone at (804) 225-2052.</w:t>
      </w:r>
    </w:p>
    <w:p w:rsidR="00782FA9" w:rsidRPr="00D11BE7" w:rsidRDefault="00782FA9" w:rsidP="00782FA9">
      <w:pPr>
        <w:spacing w:after="0" w:line="240" w:lineRule="auto"/>
        <w:rPr>
          <w:rFonts w:ascii="Times New Roman" w:eastAsia="Times New Roman" w:hAnsi="Times New Roman" w:cs="Times New Roman"/>
          <w:sz w:val="24"/>
          <w:szCs w:val="24"/>
        </w:rPr>
      </w:pPr>
    </w:p>
    <w:p w:rsidR="00782FA9" w:rsidRDefault="00782FA9" w:rsidP="00782FA9">
      <w:pPr>
        <w:spacing w:after="0" w:line="240" w:lineRule="auto"/>
        <w:rPr>
          <w:rFonts w:ascii="Times New Roman" w:hAnsi="Times New Roman" w:cs="Times New Roman"/>
          <w:szCs w:val="24"/>
        </w:rPr>
      </w:pPr>
      <w:r>
        <w:rPr>
          <w:rFonts w:ascii="Times New Roman" w:hAnsi="Times New Roman" w:cs="Times New Roman"/>
          <w:szCs w:val="24"/>
        </w:rPr>
        <w:t>JFL/GRW/</w:t>
      </w:r>
      <w:proofErr w:type="spellStart"/>
      <w:r>
        <w:rPr>
          <w:rFonts w:ascii="Times New Roman" w:hAnsi="Times New Roman" w:cs="Times New Roman"/>
          <w:szCs w:val="24"/>
        </w:rPr>
        <w:t>jts</w:t>
      </w:r>
      <w:proofErr w:type="spellEnd"/>
    </w:p>
    <w:p w:rsidR="00782FA9" w:rsidRPr="00D11BE7" w:rsidRDefault="00782FA9" w:rsidP="00782FA9">
      <w:pPr>
        <w:spacing w:after="0" w:line="240" w:lineRule="auto"/>
        <w:rPr>
          <w:rFonts w:ascii="Times New Roman" w:eastAsia="Times New Roman" w:hAnsi="Times New Roman" w:cs="Times New Roman"/>
          <w:sz w:val="24"/>
          <w:szCs w:val="24"/>
        </w:rPr>
      </w:pPr>
    </w:p>
    <w:sectPr w:rsidR="00782FA9" w:rsidRPr="00D11BE7" w:rsidSect="00782FA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4CC"/>
    <w:multiLevelType w:val="hybridMultilevel"/>
    <w:tmpl w:val="F2E6EB84"/>
    <w:lvl w:ilvl="0" w:tplc="DFB6E5F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97F90"/>
    <w:multiLevelType w:val="hybridMultilevel"/>
    <w:tmpl w:val="FC6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43F"/>
    <w:multiLevelType w:val="hybridMultilevel"/>
    <w:tmpl w:val="FD92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638A"/>
    <w:multiLevelType w:val="hybridMultilevel"/>
    <w:tmpl w:val="367EFACC"/>
    <w:lvl w:ilvl="0" w:tplc="1FE260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6F7E"/>
    <w:multiLevelType w:val="hybridMultilevel"/>
    <w:tmpl w:val="190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30E"/>
    <w:multiLevelType w:val="hybridMultilevel"/>
    <w:tmpl w:val="9BAA6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A113D"/>
    <w:multiLevelType w:val="hybridMultilevel"/>
    <w:tmpl w:val="261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B2A2E"/>
    <w:multiLevelType w:val="hybridMultilevel"/>
    <w:tmpl w:val="A84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601B9"/>
    <w:multiLevelType w:val="hybridMultilevel"/>
    <w:tmpl w:val="0E1C8A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C29377C"/>
    <w:multiLevelType w:val="hybridMultilevel"/>
    <w:tmpl w:val="39A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7"/>
  </w:num>
  <w:num w:numId="6">
    <w:abstractNumId w:val="4"/>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19"/>
    <w:rsid w:val="0002085D"/>
    <w:rsid w:val="000244D2"/>
    <w:rsid w:val="000407AC"/>
    <w:rsid w:val="00053C73"/>
    <w:rsid w:val="00054EB1"/>
    <w:rsid w:val="000A6502"/>
    <w:rsid w:val="000B64E3"/>
    <w:rsid w:val="000E45B8"/>
    <w:rsid w:val="001137C5"/>
    <w:rsid w:val="00143EF3"/>
    <w:rsid w:val="00155C7F"/>
    <w:rsid w:val="00166A76"/>
    <w:rsid w:val="00166B2C"/>
    <w:rsid w:val="001700CC"/>
    <w:rsid w:val="0017087A"/>
    <w:rsid w:val="00180ADD"/>
    <w:rsid w:val="001A7219"/>
    <w:rsid w:val="001F4138"/>
    <w:rsid w:val="002171DA"/>
    <w:rsid w:val="00256AAC"/>
    <w:rsid w:val="00261972"/>
    <w:rsid w:val="00271FEC"/>
    <w:rsid w:val="002A3031"/>
    <w:rsid w:val="002B1DCD"/>
    <w:rsid w:val="002B6ED1"/>
    <w:rsid w:val="002C4F17"/>
    <w:rsid w:val="002E5E62"/>
    <w:rsid w:val="002E6EF3"/>
    <w:rsid w:val="002E7D2A"/>
    <w:rsid w:val="00301BD3"/>
    <w:rsid w:val="00313889"/>
    <w:rsid w:val="003345B7"/>
    <w:rsid w:val="00355F41"/>
    <w:rsid w:val="00392EB7"/>
    <w:rsid w:val="003A3D01"/>
    <w:rsid w:val="003B6EA7"/>
    <w:rsid w:val="003C1757"/>
    <w:rsid w:val="003C1931"/>
    <w:rsid w:val="003C5D6D"/>
    <w:rsid w:val="003D1B12"/>
    <w:rsid w:val="003F4366"/>
    <w:rsid w:val="00406CAA"/>
    <w:rsid w:val="00425145"/>
    <w:rsid w:val="00447810"/>
    <w:rsid w:val="004617F9"/>
    <w:rsid w:val="0046658E"/>
    <w:rsid w:val="004704D2"/>
    <w:rsid w:val="00472EBC"/>
    <w:rsid w:val="004964FB"/>
    <w:rsid w:val="004A30D7"/>
    <w:rsid w:val="0053527A"/>
    <w:rsid w:val="005534A1"/>
    <w:rsid w:val="00554387"/>
    <w:rsid w:val="005719F2"/>
    <w:rsid w:val="00584610"/>
    <w:rsid w:val="006320F5"/>
    <w:rsid w:val="006417FF"/>
    <w:rsid w:val="006427F9"/>
    <w:rsid w:val="00656745"/>
    <w:rsid w:val="0067487D"/>
    <w:rsid w:val="00680610"/>
    <w:rsid w:val="006B19A1"/>
    <w:rsid w:val="006B5E0D"/>
    <w:rsid w:val="006D388C"/>
    <w:rsid w:val="006D4EC3"/>
    <w:rsid w:val="0070039C"/>
    <w:rsid w:val="00711B54"/>
    <w:rsid w:val="00720503"/>
    <w:rsid w:val="00730F62"/>
    <w:rsid w:val="00740CE5"/>
    <w:rsid w:val="0074100F"/>
    <w:rsid w:val="00760FB8"/>
    <w:rsid w:val="00782FA9"/>
    <w:rsid w:val="007868C4"/>
    <w:rsid w:val="007A28F8"/>
    <w:rsid w:val="007B3CCF"/>
    <w:rsid w:val="007B4564"/>
    <w:rsid w:val="007C3643"/>
    <w:rsid w:val="007C7856"/>
    <w:rsid w:val="007D6439"/>
    <w:rsid w:val="007F0069"/>
    <w:rsid w:val="0087365D"/>
    <w:rsid w:val="00881AA4"/>
    <w:rsid w:val="008A52E5"/>
    <w:rsid w:val="008C774B"/>
    <w:rsid w:val="008D21EA"/>
    <w:rsid w:val="008D4607"/>
    <w:rsid w:val="008D7146"/>
    <w:rsid w:val="008F17F5"/>
    <w:rsid w:val="008F54F9"/>
    <w:rsid w:val="00926ABB"/>
    <w:rsid w:val="00930033"/>
    <w:rsid w:val="0095577E"/>
    <w:rsid w:val="00971074"/>
    <w:rsid w:val="009712B1"/>
    <w:rsid w:val="009723C9"/>
    <w:rsid w:val="00973422"/>
    <w:rsid w:val="009744EB"/>
    <w:rsid w:val="00974698"/>
    <w:rsid w:val="00985F76"/>
    <w:rsid w:val="0099469B"/>
    <w:rsid w:val="009B13E0"/>
    <w:rsid w:val="009D06E0"/>
    <w:rsid w:val="009F2FA7"/>
    <w:rsid w:val="00A07003"/>
    <w:rsid w:val="00A41E4A"/>
    <w:rsid w:val="00A71230"/>
    <w:rsid w:val="00A807CA"/>
    <w:rsid w:val="00A94F9A"/>
    <w:rsid w:val="00A95820"/>
    <w:rsid w:val="00A96D52"/>
    <w:rsid w:val="00AB7508"/>
    <w:rsid w:val="00AD7D07"/>
    <w:rsid w:val="00B168AC"/>
    <w:rsid w:val="00B2127A"/>
    <w:rsid w:val="00B27D94"/>
    <w:rsid w:val="00B34042"/>
    <w:rsid w:val="00B419A1"/>
    <w:rsid w:val="00B5588F"/>
    <w:rsid w:val="00B57E3E"/>
    <w:rsid w:val="00B719AF"/>
    <w:rsid w:val="00B725A4"/>
    <w:rsid w:val="00B72862"/>
    <w:rsid w:val="00B7772D"/>
    <w:rsid w:val="00BA7F80"/>
    <w:rsid w:val="00BC2939"/>
    <w:rsid w:val="00BD4615"/>
    <w:rsid w:val="00BE2E12"/>
    <w:rsid w:val="00C0208C"/>
    <w:rsid w:val="00C05967"/>
    <w:rsid w:val="00C10D17"/>
    <w:rsid w:val="00C21C1F"/>
    <w:rsid w:val="00C31156"/>
    <w:rsid w:val="00C60041"/>
    <w:rsid w:val="00C6689B"/>
    <w:rsid w:val="00C74692"/>
    <w:rsid w:val="00CD3848"/>
    <w:rsid w:val="00CD4501"/>
    <w:rsid w:val="00CF5807"/>
    <w:rsid w:val="00D0439D"/>
    <w:rsid w:val="00D13E09"/>
    <w:rsid w:val="00D324E9"/>
    <w:rsid w:val="00D3483F"/>
    <w:rsid w:val="00D41E48"/>
    <w:rsid w:val="00D43C01"/>
    <w:rsid w:val="00D60EBA"/>
    <w:rsid w:val="00DB491A"/>
    <w:rsid w:val="00DD724E"/>
    <w:rsid w:val="00E05591"/>
    <w:rsid w:val="00E06142"/>
    <w:rsid w:val="00E3138B"/>
    <w:rsid w:val="00E35D47"/>
    <w:rsid w:val="00E4567D"/>
    <w:rsid w:val="00E53848"/>
    <w:rsid w:val="00E54937"/>
    <w:rsid w:val="00E64547"/>
    <w:rsid w:val="00E772E6"/>
    <w:rsid w:val="00EB24AB"/>
    <w:rsid w:val="00EB6B91"/>
    <w:rsid w:val="00EC2F0F"/>
    <w:rsid w:val="00ED54A2"/>
    <w:rsid w:val="00EE3604"/>
    <w:rsid w:val="00F04CE8"/>
    <w:rsid w:val="00F05746"/>
    <w:rsid w:val="00F24FD6"/>
    <w:rsid w:val="00F54A49"/>
    <w:rsid w:val="00F6598C"/>
    <w:rsid w:val="00F70152"/>
    <w:rsid w:val="00F76DBE"/>
    <w:rsid w:val="00F84702"/>
    <w:rsid w:val="00FA0A08"/>
    <w:rsid w:val="00FC49EE"/>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715E6-4F59-4731-8A97-DE77BE92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7C7856"/>
    <w:pPr>
      <w:pBdr>
        <w:bottom w:val="none" w:sz="0" w:space="0" w:color="auto"/>
      </w:pBdr>
      <w:spacing w:after="0"/>
      <w:ind w:left="1440" w:hanging="1440"/>
      <w:contextualSpacing w:val="0"/>
      <w:outlineLvl w:val="0"/>
    </w:pPr>
    <w:rPr>
      <w:rFonts w:ascii="Times New Roman" w:eastAsia="Times New Roman" w:hAnsi="Times New Roman" w:cs="Times New Roman"/>
      <w:b/>
      <w:bCs/>
      <w:color w:val="auto"/>
      <w:spacing w:val="0"/>
      <w:kern w:val="0"/>
      <w:sz w:val="24"/>
      <w:szCs w:val="24"/>
    </w:rPr>
  </w:style>
  <w:style w:type="paragraph" w:styleId="Heading2">
    <w:name w:val="heading 2"/>
    <w:basedOn w:val="Normal"/>
    <w:next w:val="Normal"/>
    <w:link w:val="Heading2Char"/>
    <w:uiPriority w:val="9"/>
    <w:unhideWhenUsed/>
    <w:qFormat/>
    <w:rsid w:val="007C7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87"/>
    <w:rPr>
      <w:color w:val="0000FF" w:themeColor="hyperlink"/>
      <w:u w:val="single"/>
    </w:rPr>
  </w:style>
  <w:style w:type="paragraph" w:styleId="ListParagraph">
    <w:name w:val="List Paragraph"/>
    <w:basedOn w:val="Normal"/>
    <w:uiPriority w:val="34"/>
    <w:qFormat/>
    <w:rsid w:val="007D6439"/>
    <w:pPr>
      <w:ind w:left="720"/>
      <w:contextualSpacing/>
    </w:pPr>
  </w:style>
  <w:style w:type="character" w:styleId="FollowedHyperlink">
    <w:name w:val="FollowedHyperlink"/>
    <w:basedOn w:val="DefaultParagraphFont"/>
    <w:uiPriority w:val="99"/>
    <w:semiHidden/>
    <w:unhideWhenUsed/>
    <w:rsid w:val="00E4567D"/>
    <w:rPr>
      <w:color w:val="800080" w:themeColor="followedHyperlink"/>
      <w:u w:val="single"/>
    </w:rPr>
  </w:style>
  <w:style w:type="character" w:customStyle="1" w:styleId="Heading1Char">
    <w:name w:val="Heading 1 Char"/>
    <w:basedOn w:val="DefaultParagraphFont"/>
    <w:link w:val="Heading1"/>
    <w:uiPriority w:val="9"/>
    <w:rsid w:val="007C78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C78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C7856"/>
    <w:rPr>
      <w:b/>
      <w:bCs/>
    </w:rPr>
  </w:style>
  <w:style w:type="paragraph" w:styleId="Title">
    <w:name w:val="Title"/>
    <w:basedOn w:val="Normal"/>
    <w:next w:val="Normal"/>
    <w:link w:val="TitleChar"/>
    <w:uiPriority w:val="10"/>
    <w:qFormat/>
    <w:rsid w:val="007C7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56"/>
    <w:rPr>
      <w:rFonts w:ascii="Tahoma" w:hAnsi="Tahoma" w:cs="Tahoma"/>
      <w:sz w:val="16"/>
      <w:szCs w:val="16"/>
    </w:rPr>
  </w:style>
  <w:style w:type="character" w:styleId="Emphasis">
    <w:name w:val="Emphasis"/>
    <w:basedOn w:val="DefaultParagraphFont"/>
    <w:uiPriority w:val="20"/>
    <w:qFormat/>
    <w:rsid w:val="00782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ettings" Target="settings.xml"/><Relationship Id="rId7" Type="http://schemas.openxmlformats.org/officeDocument/2006/relationships/hyperlink" Target="http://www.doe.virginia.gov/instruction/career_technical/path_industry_certification/cte_credentials/protected-industry-credentials-for-teachers-guidance-document-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oe.virginia.gov/administrators/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Teacher Credential Guidance Document</vt:lpstr>
    </vt:vector>
  </TitlesOfParts>
  <Company>Virginia IT Infrastructure Partnership</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Credential Guidance Document</dc:title>
  <dc:creator>Anne Rowe</dc:creator>
  <cp:lastModifiedBy>Jennings, Laura (DOE)</cp:lastModifiedBy>
  <cp:revision>2</cp:revision>
  <cp:lastPrinted>2019-05-22T14:28:00Z</cp:lastPrinted>
  <dcterms:created xsi:type="dcterms:W3CDTF">2019-05-29T20:01:00Z</dcterms:created>
  <dcterms:modified xsi:type="dcterms:W3CDTF">2019-05-29T20:01:00Z</dcterms:modified>
</cp:coreProperties>
</file>